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9D25FC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9D25FC">
            <w:r>
              <w:t xml:space="preserve">Liczba </w:t>
            </w:r>
            <w:r w:rsidR="009D25FC">
              <w:t>obiektów zabytkowych poddanych remontom, konserwacji, renowacji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r>
              <w:t>3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9D25FC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692EAA"/>
    <w:rsid w:val="00735087"/>
    <w:rsid w:val="007C3CD6"/>
    <w:rsid w:val="008C0952"/>
    <w:rsid w:val="00976D78"/>
    <w:rsid w:val="00986F30"/>
    <w:rsid w:val="009D25FC"/>
    <w:rsid w:val="009E603F"/>
    <w:rsid w:val="00A2165B"/>
    <w:rsid w:val="00A60F44"/>
    <w:rsid w:val="00AC3972"/>
    <w:rsid w:val="00BA5CA0"/>
    <w:rsid w:val="00C36740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7</cp:revision>
  <dcterms:created xsi:type="dcterms:W3CDTF">2018-06-12T11:53:00Z</dcterms:created>
  <dcterms:modified xsi:type="dcterms:W3CDTF">2020-05-25T13:12:00Z</dcterms:modified>
</cp:coreProperties>
</file>