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E02184" w14:textId="77777777" w:rsidR="00D019D8" w:rsidRPr="00B74007" w:rsidRDefault="00444E84" w:rsidP="00EF78E2">
      <w:pPr>
        <w:jc w:val="right"/>
        <w:rPr>
          <w:rFonts w:asciiTheme="minorHAnsi" w:hAnsiTheme="minorHAnsi" w:cstheme="minorHAnsi"/>
          <w:b/>
          <w:sz w:val="22"/>
          <w:szCs w:val="22"/>
        </w:rPr>
      </w:pPr>
      <w:bookmarkStart w:id="0" w:name="_Toc226881897"/>
      <w:bookmarkStart w:id="1" w:name="_GoBack"/>
      <w:bookmarkEnd w:id="1"/>
      <w:r>
        <w:rPr>
          <w:noProof/>
        </w:rPr>
        <w:drawing>
          <wp:anchor distT="0" distB="0" distL="114300" distR="114300" simplePos="0" relativeHeight="251665408" behindDoc="0" locked="0" layoutInCell="1" allowOverlap="1" wp14:anchorId="181B33E5" wp14:editId="66A2A2BE">
            <wp:simplePos x="0" y="0"/>
            <wp:positionH relativeFrom="column">
              <wp:posOffset>3874770</wp:posOffset>
            </wp:positionH>
            <wp:positionV relativeFrom="paragraph">
              <wp:posOffset>-186055</wp:posOffset>
            </wp:positionV>
            <wp:extent cx="1123315" cy="734695"/>
            <wp:effectExtent l="0" t="0" r="635" b="8255"/>
            <wp:wrapNone/>
            <wp:docPr id="4" name="Obraz 4"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W-2014-2020-logo-kol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3315" cy="7346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084A48F7" wp14:editId="24DDDB76">
            <wp:simplePos x="0" y="0"/>
            <wp:positionH relativeFrom="column">
              <wp:posOffset>1990725</wp:posOffset>
            </wp:positionH>
            <wp:positionV relativeFrom="paragraph">
              <wp:posOffset>-120015</wp:posOffset>
            </wp:positionV>
            <wp:extent cx="1477010" cy="582930"/>
            <wp:effectExtent l="0" t="0" r="8890" b="7620"/>
            <wp:wrapNone/>
            <wp:docPr id="2" name="Obraz 2" descr="logo_lgd_kwiat_lnu_niebies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lgd_kwiat_lnu_niebieski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77010" cy="5829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6E390C64" wp14:editId="1D9D3FF5">
            <wp:simplePos x="0" y="0"/>
            <wp:positionH relativeFrom="column">
              <wp:posOffset>652145</wp:posOffset>
            </wp:positionH>
            <wp:positionV relativeFrom="paragraph">
              <wp:posOffset>-96520</wp:posOffset>
            </wp:positionV>
            <wp:extent cx="685800" cy="565150"/>
            <wp:effectExtent l="0" t="0" r="0" b="6350"/>
            <wp:wrapNone/>
            <wp:docPr id="3" name="Obraz 3" descr="C:\Users\Paweł\Desktop\logotypy\logo-L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Paweł\Desktop\logotypy\logo-LEADE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5800" cy="565150"/>
                    </a:xfrm>
                    <a:prstGeom prst="rect">
                      <a:avLst/>
                    </a:prstGeom>
                    <a:noFill/>
                    <a:ln>
                      <a:noFill/>
                    </a:ln>
                  </pic:spPr>
                </pic:pic>
              </a:graphicData>
            </a:graphic>
            <wp14:sizeRelH relativeFrom="page">
              <wp14:pctWidth>0</wp14:pctWidth>
            </wp14:sizeRelH>
            <wp14:sizeRelV relativeFrom="page">
              <wp14:pctHeight>0</wp14:pctHeight>
            </wp14:sizeRelV>
          </wp:anchor>
        </w:drawing>
      </w:r>
      <w:r w:rsidR="00CC49AC">
        <w:rPr>
          <w:noProof/>
        </w:rPr>
        <w:drawing>
          <wp:anchor distT="0" distB="0" distL="114300" distR="114300" simplePos="0" relativeHeight="251659264" behindDoc="0" locked="0" layoutInCell="1" allowOverlap="1" wp14:anchorId="34AB5593" wp14:editId="2BFEAB64">
            <wp:simplePos x="0" y="0"/>
            <wp:positionH relativeFrom="margin">
              <wp:posOffset>259080</wp:posOffset>
            </wp:positionH>
            <wp:positionV relativeFrom="margin">
              <wp:posOffset>-116840</wp:posOffset>
            </wp:positionV>
            <wp:extent cx="895350" cy="600075"/>
            <wp:effectExtent l="0" t="0" r="0" b="0"/>
            <wp:wrapSquare wrapText="bothSides"/>
            <wp:docPr id="1" name="Obraz 1"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_yellow_low"/>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5350" cy="600075"/>
                    </a:xfrm>
                    <a:prstGeom prst="rect">
                      <a:avLst/>
                    </a:prstGeom>
                    <a:noFill/>
                    <a:ln>
                      <a:noFill/>
                    </a:ln>
                  </pic:spPr>
                </pic:pic>
              </a:graphicData>
            </a:graphic>
          </wp:anchor>
        </w:drawing>
      </w:r>
    </w:p>
    <w:bookmarkEnd w:id="0"/>
    <w:p w14:paraId="1D72BFFD" w14:textId="77777777" w:rsidR="00472B2B" w:rsidRPr="00B74007" w:rsidRDefault="00472B2B" w:rsidP="006B35F8">
      <w:pPr>
        <w:jc w:val="center"/>
        <w:rPr>
          <w:rFonts w:asciiTheme="minorHAnsi" w:hAnsiTheme="minorHAnsi" w:cstheme="minorHAnsi"/>
        </w:rPr>
      </w:pPr>
    </w:p>
    <w:p w14:paraId="563C0A20" w14:textId="77777777" w:rsidR="00CC49AC" w:rsidRPr="00CC49AC" w:rsidRDefault="00CC49AC" w:rsidP="006B35F8">
      <w:pPr>
        <w:tabs>
          <w:tab w:val="left" w:pos="2977"/>
          <w:tab w:val="left" w:pos="3544"/>
          <w:tab w:val="left" w:pos="3686"/>
        </w:tabs>
        <w:jc w:val="center"/>
        <w:rPr>
          <w:rFonts w:asciiTheme="minorHAnsi" w:hAnsiTheme="minorHAnsi" w:cstheme="minorHAnsi"/>
          <w:b/>
          <w:sz w:val="20"/>
          <w:szCs w:val="20"/>
        </w:rPr>
      </w:pPr>
    </w:p>
    <w:p w14:paraId="585D56D3" w14:textId="77777777" w:rsidR="00CC49AC" w:rsidRPr="00CC49AC" w:rsidRDefault="00CC49AC" w:rsidP="00CC49AC">
      <w:pPr>
        <w:jc w:val="center"/>
        <w:rPr>
          <w:rFonts w:ascii="Calibri" w:hAnsi="Calibri" w:cs="Calibri"/>
          <w:b/>
          <w:i/>
          <w:sz w:val="20"/>
          <w:szCs w:val="20"/>
        </w:rPr>
      </w:pPr>
      <w:r w:rsidRPr="00CC49AC">
        <w:rPr>
          <w:rFonts w:ascii="Calibri" w:hAnsi="Calibri" w:cs="Calibri"/>
          <w:sz w:val="20"/>
          <w:szCs w:val="20"/>
        </w:rPr>
        <w:t>„Europejski Fundusz Rolny na rzecz Rozwoju Obszarów Wiejskich: Europa inwestująca w obszary wiejskie”.</w:t>
      </w:r>
    </w:p>
    <w:p w14:paraId="0FD8B765" w14:textId="77777777" w:rsidR="00CC49AC" w:rsidRDefault="00CC49AC" w:rsidP="006B35F8">
      <w:pPr>
        <w:tabs>
          <w:tab w:val="left" w:pos="2977"/>
          <w:tab w:val="left" w:pos="3544"/>
          <w:tab w:val="left" w:pos="3686"/>
        </w:tabs>
        <w:jc w:val="center"/>
        <w:rPr>
          <w:rFonts w:asciiTheme="minorHAnsi" w:hAnsiTheme="minorHAnsi" w:cstheme="minorHAnsi"/>
          <w:b/>
          <w:sz w:val="28"/>
          <w:szCs w:val="28"/>
        </w:rPr>
      </w:pPr>
    </w:p>
    <w:p w14:paraId="75D24E51" w14:textId="77777777" w:rsidR="009D4E26" w:rsidRDefault="009D4E26" w:rsidP="009D4E26">
      <w:pPr>
        <w:tabs>
          <w:tab w:val="left" w:pos="2977"/>
          <w:tab w:val="left" w:pos="3544"/>
          <w:tab w:val="left" w:pos="3686"/>
        </w:tabs>
        <w:jc w:val="center"/>
        <w:rPr>
          <w:rFonts w:asciiTheme="minorHAnsi" w:hAnsiTheme="minorHAnsi" w:cstheme="minorHAnsi"/>
          <w:b/>
          <w:sz w:val="28"/>
          <w:szCs w:val="28"/>
        </w:rPr>
      </w:pPr>
    </w:p>
    <w:p w14:paraId="08004FE6" w14:textId="77777777" w:rsidR="00A33664" w:rsidRPr="009D4E26" w:rsidRDefault="00A33664" w:rsidP="009D4E26">
      <w:pPr>
        <w:tabs>
          <w:tab w:val="left" w:pos="2977"/>
          <w:tab w:val="left" w:pos="3544"/>
          <w:tab w:val="left" w:pos="3686"/>
        </w:tabs>
        <w:jc w:val="center"/>
        <w:rPr>
          <w:rFonts w:asciiTheme="minorHAnsi" w:hAnsiTheme="minorHAnsi" w:cstheme="minorHAnsi"/>
          <w:b/>
          <w:sz w:val="28"/>
          <w:szCs w:val="28"/>
        </w:rPr>
      </w:pPr>
      <w:r w:rsidRPr="009D4E26">
        <w:rPr>
          <w:rFonts w:asciiTheme="minorHAnsi" w:hAnsiTheme="minorHAnsi" w:cstheme="minorHAnsi"/>
          <w:b/>
          <w:sz w:val="28"/>
          <w:szCs w:val="28"/>
        </w:rPr>
        <w:t>Procedura oceny i wyboru</w:t>
      </w:r>
      <w:r w:rsidR="00472B2B" w:rsidRPr="009D4E26">
        <w:rPr>
          <w:rFonts w:asciiTheme="minorHAnsi" w:hAnsiTheme="minorHAnsi" w:cstheme="minorHAnsi"/>
          <w:b/>
          <w:sz w:val="28"/>
          <w:szCs w:val="28"/>
        </w:rPr>
        <w:t xml:space="preserve"> </w:t>
      </w:r>
      <w:r w:rsidRPr="009D4E26">
        <w:rPr>
          <w:rFonts w:asciiTheme="minorHAnsi" w:hAnsiTheme="minorHAnsi" w:cstheme="minorHAnsi"/>
          <w:b/>
          <w:sz w:val="28"/>
          <w:szCs w:val="28"/>
        </w:rPr>
        <w:t>grantobiorców</w:t>
      </w:r>
    </w:p>
    <w:p w14:paraId="0F05D27F" w14:textId="77777777" w:rsidR="00D820EE" w:rsidRPr="009D4E26" w:rsidRDefault="00D820EE" w:rsidP="009D4E26">
      <w:pPr>
        <w:pStyle w:val="Akapitzlist"/>
        <w:spacing w:after="0" w:line="240" w:lineRule="auto"/>
        <w:ind w:left="360"/>
        <w:rPr>
          <w:rFonts w:cstheme="minorHAnsi"/>
          <w:b/>
        </w:rPr>
      </w:pPr>
    </w:p>
    <w:p w14:paraId="297C81D6" w14:textId="77777777" w:rsidR="007D081D" w:rsidRPr="007D081D" w:rsidRDefault="00587588" w:rsidP="009D4E26">
      <w:pPr>
        <w:contextualSpacing/>
        <w:jc w:val="center"/>
        <w:rPr>
          <w:rFonts w:asciiTheme="minorHAnsi" w:eastAsiaTheme="minorHAnsi" w:hAnsiTheme="minorHAnsi" w:cstheme="minorHAnsi"/>
          <w:b/>
          <w:sz w:val="22"/>
          <w:szCs w:val="22"/>
          <w:lang w:eastAsia="en-US"/>
        </w:rPr>
      </w:pPr>
      <w:r w:rsidRPr="007D081D">
        <w:rPr>
          <w:rFonts w:asciiTheme="minorHAnsi" w:eastAsiaTheme="minorHAnsi" w:hAnsiTheme="minorHAnsi" w:cstheme="minorHAnsi"/>
          <w:b/>
          <w:sz w:val="22"/>
          <w:szCs w:val="22"/>
          <w:lang w:eastAsia="en-US"/>
        </w:rPr>
        <w:t>§1</w:t>
      </w:r>
    </w:p>
    <w:p w14:paraId="6D68FE7E" w14:textId="288DBCE5" w:rsidR="00587588" w:rsidRPr="009D4E26" w:rsidRDefault="00CC49AC" w:rsidP="009D4E26">
      <w:pPr>
        <w:contextualSpacing/>
        <w:jc w:val="center"/>
        <w:rPr>
          <w:rFonts w:asciiTheme="minorHAnsi" w:eastAsiaTheme="minorHAnsi" w:hAnsiTheme="minorHAnsi" w:cstheme="minorHAnsi"/>
          <w:sz w:val="22"/>
          <w:szCs w:val="22"/>
          <w:lang w:eastAsia="en-US"/>
        </w:rPr>
      </w:pPr>
      <w:r w:rsidRPr="009D4E26">
        <w:rPr>
          <w:rFonts w:asciiTheme="minorHAnsi" w:hAnsiTheme="minorHAnsi"/>
          <w:noProof/>
        </w:rPr>
        <w:drawing>
          <wp:anchor distT="0" distB="0" distL="114300" distR="114300" simplePos="0" relativeHeight="251667456" behindDoc="0" locked="0" layoutInCell="1" allowOverlap="1" wp14:anchorId="6401DDA3" wp14:editId="36A0ACE7">
            <wp:simplePos x="0" y="0"/>
            <wp:positionH relativeFrom="column">
              <wp:posOffset>7208520</wp:posOffset>
            </wp:positionH>
            <wp:positionV relativeFrom="paragraph">
              <wp:posOffset>-780415</wp:posOffset>
            </wp:positionV>
            <wp:extent cx="1123315" cy="734695"/>
            <wp:effectExtent l="0" t="0" r="0" b="0"/>
            <wp:wrapNone/>
            <wp:docPr id="5" name="Obraz 5"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W-2014-2020-logo-kol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3315" cy="734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F815FE" w14:textId="063A4CB6" w:rsidR="00122284" w:rsidRPr="009D4E26" w:rsidRDefault="00F96BDC" w:rsidP="009D4E26">
      <w:pPr>
        <w:pStyle w:val="Akapitzlist"/>
        <w:numPr>
          <w:ilvl w:val="0"/>
          <w:numId w:val="4"/>
        </w:numPr>
        <w:spacing w:after="0" w:line="240" w:lineRule="auto"/>
        <w:rPr>
          <w:rFonts w:cstheme="minorHAnsi"/>
        </w:rPr>
      </w:pPr>
      <w:r w:rsidRPr="009D4E26">
        <w:rPr>
          <w:rFonts w:cstheme="minorHAnsi"/>
        </w:rPr>
        <w:t>Po zakończeniu naboru wniosków o powierzenie grantów</w:t>
      </w:r>
      <w:r w:rsidR="0022649D" w:rsidRPr="009D4E26">
        <w:rPr>
          <w:rFonts w:cstheme="minorHAnsi"/>
        </w:rPr>
        <w:t xml:space="preserve"> LGD </w:t>
      </w:r>
      <w:r w:rsidRPr="009D4E26">
        <w:rPr>
          <w:rFonts w:cstheme="minorHAnsi"/>
        </w:rPr>
        <w:t xml:space="preserve">przystępuje do </w:t>
      </w:r>
      <w:r w:rsidR="0022649D" w:rsidRPr="009D4E26">
        <w:rPr>
          <w:rFonts w:cstheme="minorHAnsi"/>
        </w:rPr>
        <w:t>wyboru grantobiorców</w:t>
      </w:r>
      <w:r w:rsidR="00122284" w:rsidRPr="009D4E26">
        <w:rPr>
          <w:rFonts w:cstheme="minorHAnsi"/>
        </w:rPr>
        <w:t>.</w:t>
      </w:r>
      <w:r w:rsidR="0022649D" w:rsidRPr="009D4E26">
        <w:rPr>
          <w:rFonts w:cstheme="minorHAnsi"/>
        </w:rPr>
        <w:t xml:space="preserve"> </w:t>
      </w:r>
    </w:p>
    <w:p w14:paraId="6227ABEE" w14:textId="3D0271F1" w:rsidR="00B02E5E" w:rsidRPr="009D4E26" w:rsidRDefault="00B02E5E" w:rsidP="009D4E26">
      <w:pPr>
        <w:pStyle w:val="Akapitzlist"/>
        <w:numPr>
          <w:ilvl w:val="0"/>
          <w:numId w:val="4"/>
        </w:numPr>
        <w:spacing w:after="0" w:line="240" w:lineRule="auto"/>
        <w:rPr>
          <w:rFonts w:cstheme="minorHAnsi"/>
        </w:rPr>
      </w:pPr>
      <w:r w:rsidRPr="009D4E26">
        <w:rPr>
          <w:rFonts w:cstheme="minorHAnsi"/>
        </w:rPr>
        <w:t xml:space="preserve">Dokumenty z oceny wniosków przez Radę są jawne, wyniki i protokół z posiedzenia Rady jest zamieszczany na stronie LGD </w:t>
      </w:r>
      <w:hyperlink r:id="rId13" w:history="1">
        <w:r w:rsidRPr="009D4E26">
          <w:rPr>
            <w:rStyle w:val="Hipercze"/>
            <w:rFonts w:cstheme="minorHAnsi"/>
            <w:b/>
            <w:color w:val="auto"/>
          </w:rPr>
          <w:t>www.kwiatlnu.eu</w:t>
        </w:r>
      </w:hyperlink>
      <w:r w:rsidRPr="009D4E26">
        <w:rPr>
          <w:rFonts w:cstheme="minorHAnsi"/>
        </w:rPr>
        <w:t>.</w:t>
      </w:r>
    </w:p>
    <w:p w14:paraId="73B8B763" w14:textId="77777777" w:rsidR="00EE22F2" w:rsidRDefault="00EE22F2" w:rsidP="009D4E26">
      <w:pPr>
        <w:ind w:left="360"/>
        <w:jc w:val="center"/>
        <w:rPr>
          <w:rFonts w:asciiTheme="minorHAnsi" w:hAnsiTheme="minorHAnsi" w:cstheme="minorHAnsi"/>
          <w:sz w:val="22"/>
          <w:szCs w:val="22"/>
        </w:rPr>
      </w:pPr>
    </w:p>
    <w:p w14:paraId="48B51C59" w14:textId="77777777" w:rsidR="00587588" w:rsidRPr="007D081D" w:rsidRDefault="00587588" w:rsidP="009D4E26">
      <w:pPr>
        <w:ind w:left="360"/>
        <w:jc w:val="center"/>
        <w:rPr>
          <w:rFonts w:asciiTheme="minorHAnsi" w:eastAsiaTheme="minorHAnsi" w:hAnsiTheme="minorHAnsi" w:cstheme="minorHAnsi"/>
          <w:b/>
          <w:sz w:val="22"/>
          <w:szCs w:val="22"/>
          <w:lang w:eastAsia="en-US"/>
        </w:rPr>
      </w:pPr>
      <w:r w:rsidRPr="007D081D">
        <w:rPr>
          <w:rFonts w:asciiTheme="minorHAnsi" w:hAnsiTheme="minorHAnsi" w:cstheme="minorHAnsi"/>
          <w:b/>
          <w:sz w:val="22"/>
          <w:szCs w:val="22"/>
        </w:rPr>
        <w:t>§2</w:t>
      </w:r>
    </w:p>
    <w:p w14:paraId="670D6C94" w14:textId="77777777" w:rsidR="00587588" w:rsidRPr="009D4E26" w:rsidRDefault="00587588" w:rsidP="009D4E26">
      <w:pPr>
        <w:rPr>
          <w:rFonts w:asciiTheme="minorHAnsi" w:hAnsiTheme="minorHAnsi" w:cstheme="minorHAnsi"/>
          <w:sz w:val="22"/>
          <w:szCs w:val="22"/>
        </w:rPr>
      </w:pPr>
    </w:p>
    <w:p w14:paraId="090B5956" w14:textId="77777777" w:rsidR="00D54450" w:rsidRPr="009D4E26" w:rsidRDefault="00D54450" w:rsidP="009D4E26">
      <w:pPr>
        <w:pStyle w:val="Akapitzlist"/>
        <w:widowControl w:val="0"/>
        <w:numPr>
          <w:ilvl w:val="1"/>
          <w:numId w:val="2"/>
        </w:numPr>
        <w:suppressAutoHyphens/>
        <w:spacing w:after="0" w:line="240" w:lineRule="auto"/>
        <w:ind w:left="709" w:hanging="283"/>
        <w:jc w:val="both"/>
        <w:rPr>
          <w:rFonts w:cstheme="minorHAnsi"/>
        </w:rPr>
      </w:pPr>
      <w:r w:rsidRPr="009D4E26">
        <w:rPr>
          <w:rFonts w:cstheme="minorHAnsi"/>
        </w:rPr>
        <w:t xml:space="preserve">Rada LGD Kwiat Lnu korzysta z narzędzia pomocniczego do oceny wniosków – aplikacji „Omikron nabory”. Narzędzie to pozwala na ocenę wniosków, aby sprawnie przeprowadzić posiedzenie Rady, na którym zapadają ostateczne decyzje. </w:t>
      </w:r>
    </w:p>
    <w:p w14:paraId="136EFD7B" w14:textId="33CC5FDB" w:rsidR="00D54450" w:rsidRPr="009D4E26" w:rsidRDefault="00D54450" w:rsidP="009D4E26">
      <w:pPr>
        <w:pStyle w:val="Akapitzlist"/>
        <w:widowControl w:val="0"/>
        <w:numPr>
          <w:ilvl w:val="1"/>
          <w:numId w:val="2"/>
        </w:numPr>
        <w:suppressAutoHyphens/>
        <w:spacing w:after="0" w:line="240" w:lineRule="auto"/>
        <w:ind w:left="709" w:hanging="283"/>
        <w:jc w:val="both"/>
        <w:rPr>
          <w:rFonts w:cstheme="minorHAnsi"/>
        </w:rPr>
      </w:pPr>
      <w:r w:rsidRPr="009D4E26">
        <w:rPr>
          <w:rFonts w:cstheme="minorHAnsi"/>
        </w:rPr>
        <w:t xml:space="preserve">Wszystkie ostateczne decyzje dotyczące wyboru wniosków złożonych w naborze na każdym etapie oceny zapadają na posiedzeniu Rady poprzez podjęcie stosownej Uchwały. Do podjęcia tej decyzji bierze się pod uwagę </w:t>
      </w:r>
      <w:r w:rsidR="005870A5" w:rsidRPr="009D4E26">
        <w:rPr>
          <w:rFonts w:cstheme="minorHAnsi"/>
        </w:rPr>
        <w:t xml:space="preserve">wstępną ocenę dokonywaną przez Biuro oraz </w:t>
      </w:r>
      <w:r w:rsidRPr="009D4E26">
        <w:rPr>
          <w:rFonts w:cstheme="minorHAnsi"/>
        </w:rPr>
        <w:t xml:space="preserve">członków Rady biorących udział w tym posiedzeniu. </w:t>
      </w:r>
    </w:p>
    <w:p w14:paraId="23FF04DE" w14:textId="77777777" w:rsidR="00D54450" w:rsidRPr="009D4E26" w:rsidRDefault="00D54450" w:rsidP="009D4E26">
      <w:pPr>
        <w:pStyle w:val="Akapitzlist"/>
        <w:widowControl w:val="0"/>
        <w:numPr>
          <w:ilvl w:val="1"/>
          <w:numId w:val="2"/>
        </w:numPr>
        <w:suppressAutoHyphens/>
        <w:spacing w:after="0" w:line="240" w:lineRule="auto"/>
        <w:ind w:left="709" w:hanging="283"/>
        <w:jc w:val="both"/>
        <w:rPr>
          <w:rFonts w:cstheme="minorHAnsi"/>
        </w:rPr>
      </w:pPr>
      <w:r w:rsidRPr="009D4E26">
        <w:rPr>
          <w:rFonts w:cstheme="minorHAnsi"/>
        </w:rPr>
        <w:t xml:space="preserve">Wnioski wraz z załącznikami  są udostępniane w aplikacji dla wszystkich członków Rady co najmniej 7 dni przed terminem posiedzenia Rady w sprawie wyboru wniosków. </w:t>
      </w:r>
    </w:p>
    <w:p w14:paraId="096A806F" w14:textId="77777777" w:rsidR="00D54450" w:rsidRPr="009D4E26" w:rsidRDefault="00D54450" w:rsidP="009D4E26">
      <w:pPr>
        <w:pStyle w:val="Akapitzlist"/>
        <w:widowControl w:val="0"/>
        <w:numPr>
          <w:ilvl w:val="1"/>
          <w:numId w:val="2"/>
        </w:numPr>
        <w:suppressAutoHyphens/>
        <w:spacing w:after="0" w:line="240" w:lineRule="auto"/>
        <w:ind w:left="709" w:hanging="283"/>
        <w:jc w:val="both"/>
        <w:rPr>
          <w:rFonts w:cstheme="minorHAnsi"/>
        </w:rPr>
      </w:pPr>
      <w:r w:rsidRPr="009D4E26">
        <w:rPr>
          <w:rFonts w:cstheme="minorHAnsi"/>
        </w:rPr>
        <w:t>Oceny może dokonać tylko</w:t>
      </w:r>
      <w:r w:rsidR="005870A5" w:rsidRPr="009D4E26">
        <w:rPr>
          <w:rFonts w:cstheme="minorHAnsi"/>
        </w:rPr>
        <w:t xml:space="preserve"> pracownik Biura i </w:t>
      </w:r>
      <w:r w:rsidRPr="009D4E26">
        <w:rPr>
          <w:rFonts w:cstheme="minorHAnsi"/>
        </w:rPr>
        <w:t xml:space="preserve"> członek Rady, który zgodnie ze złożoną deklaracją jest bezstronny w stosun</w:t>
      </w:r>
      <w:r w:rsidR="007B7901" w:rsidRPr="009D4E26">
        <w:rPr>
          <w:rFonts w:cstheme="minorHAnsi"/>
        </w:rPr>
        <w:t>ku do każdego wniosku z osobna.</w:t>
      </w:r>
    </w:p>
    <w:p w14:paraId="55CDD640" w14:textId="77777777" w:rsidR="00D54450" w:rsidRPr="009D4E26" w:rsidRDefault="00D54450" w:rsidP="009D4E26">
      <w:pPr>
        <w:pStyle w:val="Akapitzlist"/>
        <w:widowControl w:val="0"/>
        <w:numPr>
          <w:ilvl w:val="1"/>
          <w:numId w:val="2"/>
        </w:numPr>
        <w:suppressAutoHyphens/>
        <w:spacing w:after="0" w:line="240" w:lineRule="auto"/>
        <w:ind w:left="709" w:hanging="283"/>
        <w:jc w:val="both"/>
        <w:rPr>
          <w:rFonts w:cstheme="minorHAnsi"/>
        </w:rPr>
      </w:pPr>
      <w:r w:rsidRPr="009D4E26">
        <w:rPr>
          <w:rFonts w:cstheme="minorHAnsi"/>
        </w:rPr>
        <w:t xml:space="preserve">Potwierdzeniem oceny jest złożenie podpisu na kartach oceny przez członka Rady na posiedzeniu. </w:t>
      </w:r>
    </w:p>
    <w:p w14:paraId="54A12A5E" w14:textId="1060427C" w:rsidR="00D54450" w:rsidRPr="009D4E26" w:rsidRDefault="00D54450" w:rsidP="009D4E26">
      <w:pPr>
        <w:pStyle w:val="Akapitzlist"/>
        <w:widowControl w:val="0"/>
        <w:numPr>
          <w:ilvl w:val="1"/>
          <w:numId w:val="2"/>
        </w:numPr>
        <w:suppressAutoHyphens/>
        <w:spacing w:after="0" w:line="240" w:lineRule="auto"/>
        <w:ind w:left="709" w:hanging="283"/>
        <w:jc w:val="both"/>
        <w:rPr>
          <w:rFonts w:cstheme="minorHAnsi"/>
        </w:rPr>
      </w:pPr>
      <w:r w:rsidRPr="009D4E26">
        <w:rPr>
          <w:rFonts w:cstheme="minorHAnsi"/>
        </w:rPr>
        <w:t xml:space="preserve">Każdy członek Rady oceniający wniosek </w:t>
      </w:r>
      <w:r w:rsidRPr="009D4E26">
        <w:rPr>
          <w:rFonts w:cstheme="minorHAnsi"/>
          <w:u w:val="single"/>
        </w:rPr>
        <w:t>ma obowiązek</w:t>
      </w:r>
      <w:r w:rsidRPr="009D4E26">
        <w:rPr>
          <w:rFonts w:cstheme="minorHAnsi"/>
        </w:rPr>
        <w:t xml:space="preserve"> uzasadnić swoja ocenę w przypadku: nie przyznania maksymalnej liczby punktów na poziomie oceny z lokalnymi kryteriami wyboru</w:t>
      </w:r>
      <w:r w:rsidR="00EE22F2">
        <w:rPr>
          <w:rFonts w:cstheme="minorHAnsi"/>
        </w:rPr>
        <w:t>.</w:t>
      </w:r>
      <w:r w:rsidRPr="009D4E26">
        <w:rPr>
          <w:rFonts w:cstheme="minorHAnsi"/>
        </w:rPr>
        <w:t xml:space="preserve"> </w:t>
      </w:r>
    </w:p>
    <w:p w14:paraId="45E33F2D" w14:textId="0F10287D" w:rsidR="00D54450" w:rsidRPr="009D4E26" w:rsidRDefault="00D54450" w:rsidP="009D4E26">
      <w:pPr>
        <w:pStyle w:val="Akapitzlist"/>
        <w:widowControl w:val="0"/>
        <w:numPr>
          <w:ilvl w:val="1"/>
          <w:numId w:val="2"/>
        </w:numPr>
        <w:suppressAutoHyphens/>
        <w:spacing w:after="0" w:line="240" w:lineRule="auto"/>
        <w:ind w:left="709" w:hanging="283"/>
        <w:jc w:val="both"/>
        <w:rPr>
          <w:rFonts w:cstheme="minorHAnsi"/>
        </w:rPr>
      </w:pPr>
      <w:r w:rsidRPr="009D4E26">
        <w:rPr>
          <w:rFonts w:cstheme="minorHAnsi"/>
        </w:rPr>
        <w:t xml:space="preserve">Z każdego posiedzenia Rady dotyczącego oceny i wyboru </w:t>
      </w:r>
      <w:r w:rsidR="00827AF4" w:rsidRPr="009D4E26">
        <w:rPr>
          <w:rFonts w:cstheme="minorHAnsi"/>
        </w:rPr>
        <w:t>wniosków</w:t>
      </w:r>
      <w:r w:rsidRPr="009D4E26">
        <w:rPr>
          <w:rFonts w:cstheme="minorHAnsi"/>
        </w:rPr>
        <w:t xml:space="preserve"> sporządza się protokół zawierający informację o wyłączeniach w związku z potencjalnym konfliktem interesów. Protokół umieszcza się na stronie </w:t>
      </w:r>
      <w:hyperlink r:id="rId14" w:history="1">
        <w:r w:rsidRPr="009D4E26">
          <w:rPr>
            <w:rStyle w:val="Hipercze"/>
            <w:rFonts w:cstheme="minorHAnsi"/>
            <w:color w:val="auto"/>
          </w:rPr>
          <w:t>www.kwiatlnu.eu</w:t>
        </w:r>
      </w:hyperlink>
      <w:r w:rsidRPr="009D4E26">
        <w:rPr>
          <w:rFonts w:cstheme="minorHAnsi"/>
        </w:rPr>
        <w:t>.</w:t>
      </w:r>
    </w:p>
    <w:p w14:paraId="022673F8" w14:textId="77777777" w:rsidR="00B02E5E" w:rsidRPr="009D4E26" w:rsidRDefault="00B02E5E" w:rsidP="009D4E26">
      <w:pPr>
        <w:widowControl w:val="0"/>
        <w:suppressAutoHyphens/>
        <w:jc w:val="both"/>
        <w:rPr>
          <w:rFonts w:asciiTheme="minorHAnsi" w:hAnsiTheme="minorHAnsi" w:cstheme="minorHAnsi"/>
        </w:rPr>
      </w:pPr>
    </w:p>
    <w:p w14:paraId="39FB71D2" w14:textId="77777777" w:rsidR="00587588" w:rsidRPr="009D4E26" w:rsidRDefault="00587588" w:rsidP="009D4E26">
      <w:pPr>
        <w:pStyle w:val="Akapitzlist"/>
        <w:widowControl w:val="0"/>
        <w:suppressAutoHyphens/>
        <w:spacing w:after="0" w:line="240" w:lineRule="auto"/>
        <w:ind w:left="709"/>
        <w:jc w:val="both"/>
        <w:rPr>
          <w:rFonts w:cstheme="minorHAnsi"/>
        </w:rPr>
      </w:pPr>
    </w:p>
    <w:p w14:paraId="7E4A6246" w14:textId="77777777" w:rsidR="00587588" w:rsidRPr="007D081D" w:rsidRDefault="00F362C1" w:rsidP="009D4E26">
      <w:pPr>
        <w:pStyle w:val="Akapitzlist"/>
        <w:widowControl w:val="0"/>
        <w:suppressAutoHyphens/>
        <w:spacing w:after="0" w:line="240" w:lineRule="auto"/>
        <w:ind w:left="709"/>
        <w:jc w:val="center"/>
        <w:rPr>
          <w:rFonts w:cstheme="minorHAnsi"/>
          <w:b/>
        </w:rPr>
      </w:pPr>
      <w:r w:rsidRPr="007D081D">
        <w:rPr>
          <w:rFonts w:cstheme="minorHAnsi"/>
          <w:b/>
        </w:rPr>
        <w:t>§3</w:t>
      </w:r>
    </w:p>
    <w:p w14:paraId="2BCB23B0" w14:textId="77777777" w:rsidR="00D54450" w:rsidRPr="009D4E26" w:rsidRDefault="00D54450" w:rsidP="009D4E26">
      <w:pPr>
        <w:jc w:val="both"/>
        <w:rPr>
          <w:rFonts w:asciiTheme="minorHAnsi" w:hAnsiTheme="minorHAnsi" w:cstheme="minorHAnsi"/>
          <w:sz w:val="22"/>
          <w:szCs w:val="22"/>
        </w:rPr>
      </w:pPr>
    </w:p>
    <w:p w14:paraId="2B24EBC2" w14:textId="77777777" w:rsidR="005870A5" w:rsidRPr="009D4E26" w:rsidRDefault="005870A5" w:rsidP="009D4E26">
      <w:pPr>
        <w:pStyle w:val="Akapitzlist"/>
        <w:widowControl w:val="0"/>
        <w:numPr>
          <w:ilvl w:val="0"/>
          <w:numId w:val="22"/>
        </w:numPr>
        <w:suppressAutoHyphens/>
        <w:spacing w:after="0" w:line="240" w:lineRule="auto"/>
        <w:jc w:val="both"/>
        <w:rPr>
          <w:rFonts w:cstheme="minorHAnsi"/>
        </w:rPr>
      </w:pPr>
      <w:r w:rsidRPr="009D4E26">
        <w:rPr>
          <w:rFonts w:cstheme="minorHAnsi"/>
        </w:rPr>
        <w:t xml:space="preserve">Przewodniczący Rady lub Zastępca rozpoczyna posiedzenie dotyczące oceny wniosków zgodnie z postanowieniami niniejszej procedury. </w:t>
      </w:r>
    </w:p>
    <w:p w14:paraId="42753CA1" w14:textId="77777777" w:rsidR="004A3485" w:rsidRPr="009D4E26" w:rsidRDefault="004A3485" w:rsidP="009D4E26">
      <w:pPr>
        <w:pStyle w:val="Akapitzlist"/>
        <w:widowControl w:val="0"/>
        <w:numPr>
          <w:ilvl w:val="0"/>
          <w:numId w:val="22"/>
        </w:numPr>
        <w:suppressAutoHyphens/>
        <w:spacing w:after="0" w:line="240" w:lineRule="auto"/>
        <w:rPr>
          <w:rFonts w:cstheme="minorHAnsi"/>
        </w:rPr>
      </w:pPr>
      <w:r w:rsidRPr="009D4E26">
        <w:rPr>
          <w:rFonts w:cstheme="minorHAnsi"/>
        </w:rPr>
        <w:t xml:space="preserve">Wnioski złożone w ramach otwartego naboru wniosków o powierzenie grantów ogłaszanych przez LGD  będą ocenianie w 2 etapach:  </w:t>
      </w:r>
    </w:p>
    <w:p w14:paraId="26A3CD73" w14:textId="77777777" w:rsidR="005870A5" w:rsidRPr="009D4E26" w:rsidRDefault="005870A5" w:rsidP="009D4E26">
      <w:pPr>
        <w:pStyle w:val="Akapitzlist"/>
        <w:widowControl w:val="0"/>
        <w:numPr>
          <w:ilvl w:val="1"/>
          <w:numId w:val="22"/>
        </w:numPr>
        <w:suppressAutoHyphens/>
        <w:spacing w:after="0" w:line="240" w:lineRule="auto"/>
        <w:ind w:left="1070"/>
        <w:contextualSpacing w:val="0"/>
        <w:jc w:val="both"/>
        <w:rPr>
          <w:rFonts w:cstheme="minorHAnsi"/>
        </w:rPr>
      </w:pPr>
      <w:r w:rsidRPr="009D4E26">
        <w:rPr>
          <w:rFonts w:cstheme="minorHAnsi"/>
        </w:rPr>
        <w:t>oceny zgodności z LSR</w:t>
      </w:r>
    </w:p>
    <w:p w14:paraId="750D69E6" w14:textId="77777777" w:rsidR="005870A5" w:rsidRPr="009D4E26" w:rsidRDefault="005870A5" w:rsidP="009D4E26">
      <w:pPr>
        <w:pStyle w:val="Akapitzlist"/>
        <w:widowControl w:val="0"/>
        <w:numPr>
          <w:ilvl w:val="1"/>
          <w:numId w:val="22"/>
        </w:numPr>
        <w:suppressAutoHyphens/>
        <w:spacing w:after="0" w:line="240" w:lineRule="auto"/>
        <w:ind w:left="1070"/>
        <w:contextualSpacing w:val="0"/>
        <w:jc w:val="both"/>
        <w:rPr>
          <w:rFonts w:cstheme="minorHAnsi"/>
        </w:rPr>
      </w:pPr>
      <w:r w:rsidRPr="009D4E26">
        <w:rPr>
          <w:rFonts w:cstheme="minorHAnsi"/>
        </w:rPr>
        <w:t xml:space="preserve">oceny na podstawie kryteriów wyboru określonych w LSR. </w:t>
      </w:r>
    </w:p>
    <w:p w14:paraId="1EA49471" w14:textId="77777777" w:rsidR="005870A5" w:rsidRPr="009D4E26" w:rsidRDefault="005870A5" w:rsidP="009D4E26">
      <w:pPr>
        <w:pStyle w:val="Akapitzlist"/>
        <w:widowControl w:val="0"/>
        <w:numPr>
          <w:ilvl w:val="0"/>
          <w:numId w:val="22"/>
        </w:numPr>
        <w:suppressAutoHyphens/>
        <w:spacing w:after="0" w:line="240" w:lineRule="auto"/>
        <w:contextualSpacing w:val="0"/>
        <w:jc w:val="both"/>
        <w:rPr>
          <w:rFonts w:cstheme="minorHAnsi"/>
        </w:rPr>
      </w:pPr>
      <w:r w:rsidRPr="009D4E26">
        <w:rPr>
          <w:rFonts w:cstheme="minorHAnsi"/>
        </w:rPr>
        <w:t>Operacje zgodne z LSR, które zostały wybrane do realizacji na podstawie kryteriów wyboru, o których mowa w ust. 2 pkt 2, podlegają procedurze ustalania kwoty wsparcia.</w:t>
      </w:r>
    </w:p>
    <w:p w14:paraId="2ADF7E81" w14:textId="77777777" w:rsidR="005870A5" w:rsidRPr="009D4E26" w:rsidRDefault="005870A5" w:rsidP="009D4E26">
      <w:pPr>
        <w:pStyle w:val="Akapitzlist"/>
        <w:widowControl w:val="0"/>
        <w:numPr>
          <w:ilvl w:val="0"/>
          <w:numId w:val="22"/>
        </w:numPr>
        <w:suppressAutoHyphens/>
        <w:spacing w:after="0" w:line="240" w:lineRule="auto"/>
        <w:contextualSpacing w:val="0"/>
        <w:jc w:val="both"/>
        <w:rPr>
          <w:rFonts w:cstheme="minorHAnsi"/>
        </w:rPr>
      </w:pPr>
      <w:r w:rsidRPr="009D4E26">
        <w:rPr>
          <w:rFonts w:cstheme="minorHAnsi"/>
        </w:rPr>
        <w:t>Na ocenę zgodności operacji z LSR składa się zbadanie, czy operacja:</w:t>
      </w:r>
    </w:p>
    <w:p w14:paraId="5B04F154" w14:textId="77777777" w:rsidR="005870A5" w:rsidRPr="009D4E26" w:rsidRDefault="005870A5" w:rsidP="009D4E26">
      <w:pPr>
        <w:pStyle w:val="Akapitzlist"/>
        <w:widowControl w:val="0"/>
        <w:numPr>
          <w:ilvl w:val="1"/>
          <w:numId w:val="22"/>
        </w:numPr>
        <w:suppressAutoHyphens/>
        <w:spacing w:after="0" w:line="240" w:lineRule="auto"/>
        <w:ind w:left="1070"/>
        <w:contextualSpacing w:val="0"/>
        <w:jc w:val="both"/>
        <w:rPr>
          <w:rFonts w:cstheme="minorHAnsi"/>
        </w:rPr>
      </w:pPr>
      <w:r w:rsidRPr="009D4E26">
        <w:rPr>
          <w:rFonts w:cstheme="minorHAnsi"/>
        </w:rPr>
        <w:t>realizuje cel ogólny i szczegółowy LSR, poprzez osiąganie zaplanowanych w LSR wskaźników,</w:t>
      </w:r>
    </w:p>
    <w:p w14:paraId="67AB14E1" w14:textId="77777777" w:rsidR="005870A5" w:rsidRPr="009D4E26" w:rsidRDefault="005870A5" w:rsidP="009D4E26">
      <w:pPr>
        <w:pStyle w:val="Akapitzlist"/>
        <w:widowControl w:val="0"/>
        <w:numPr>
          <w:ilvl w:val="1"/>
          <w:numId w:val="22"/>
        </w:numPr>
        <w:suppressAutoHyphens/>
        <w:spacing w:after="0" w:line="240" w:lineRule="auto"/>
        <w:ind w:left="1070"/>
        <w:contextualSpacing w:val="0"/>
        <w:jc w:val="both"/>
        <w:rPr>
          <w:rFonts w:cstheme="minorHAnsi"/>
        </w:rPr>
      </w:pPr>
      <w:r w:rsidRPr="009D4E26">
        <w:rPr>
          <w:rFonts w:cstheme="minorHAnsi"/>
        </w:rPr>
        <w:t>jest zgodna z Programem Rozwoju Obszarów Wiejskich na lata 2014-2020 („PROW”), w tym, z:</w:t>
      </w:r>
    </w:p>
    <w:p w14:paraId="294CF520" w14:textId="77777777" w:rsidR="005870A5" w:rsidRPr="009D4E26" w:rsidRDefault="005870A5" w:rsidP="009D4E26">
      <w:pPr>
        <w:pStyle w:val="Akapitzlist"/>
        <w:widowControl w:val="0"/>
        <w:numPr>
          <w:ilvl w:val="1"/>
          <w:numId w:val="20"/>
        </w:numPr>
        <w:suppressAutoHyphens/>
        <w:spacing w:after="0" w:line="240" w:lineRule="auto"/>
        <w:ind w:left="1418" w:hanging="284"/>
        <w:contextualSpacing w:val="0"/>
        <w:jc w:val="both"/>
        <w:rPr>
          <w:rFonts w:cstheme="minorHAnsi"/>
        </w:rPr>
      </w:pPr>
      <w:r w:rsidRPr="009D4E26">
        <w:rPr>
          <w:rFonts w:cstheme="minorHAnsi"/>
        </w:rPr>
        <w:t>obowiązującymi w ramach naboru warunkami udzielenia wsparcia oraz</w:t>
      </w:r>
    </w:p>
    <w:p w14:paraId="086489FF" w14:textId="77777777" w:rsidR="005870A5" w:rsidRPr="009D4E26" w:rsidRDefault="005870A5" w:rsidP="009D4E26">
      <w:pPr>
        <w:pStyle w:val="Akapitzlist"/>
        <w:widowControl w:val="0"/>
        <w:numPr>
          <w:ilvl w:val="1"/>
          <w:numId w:val="20"/>
        </w:numPr>
        <w:suppressAutoHyphens/>
        <w:spacing w:after="0" w:line="240" w:lineRule="auto"/>
        <w:ind w:left="1418" w:hanging="284"/>
        <w:contextualSpacing w:val="0"/>
        <w:jc w:val="both"/>
        <w:rPr>
          <w:rFonts w:cstheme="minorHAnsi"/>
        </w:rPr>
      </w:pPr>
      <w:r w:rsidRPr="009D4E26">
        <w:rPr>
          <w:rFonts w:cstheme="minorHAnsi"/>
        </w:rPr>
        <w:t>formą wsparcia wskazaną w ogłoszeniu o naborze wniosków,</w:t>
      </w:r>
    </w:p>
    <w:p w14:paraId="140EA60D" w14:textId="47AC9C86" w:rsidR="005870A5" w:rsidRPr="009D4E26" w:rsidRDefault="00EE22F2" w:rsidP="009D4E26">
      <w:pPr>
        <w:ind w:firstLine="709"/>
        <w:jc w:val="both"/>
        <w:rPr>
          <w:rFonts w:asciiTheme="minorHAnsi" w:hAnsiTheme="minorHAnsi" w:cstheme="minorHAnsi"/>
          <w:sz w:val="22"/>
          <w:szCs w:val="22"/>
        </w:rPr>
      </w:pPr>
      <w:r>
        <w:rPr>
          <w:rFonts w:asciiTheme="minorHAnsi" w:hAnsiTheme="minorHAnsi" w:cstheme="minorHAnsi"/>
          <w:sz w:val="22"/>
          <w:szCs w:val="22"/>
        </w:rPr>
        <w:t xml:space="preserve">c.  </w:t>
      </w:r>
      <w:r w:rsidR="005870A5" w:rsidRPr="009D4E26">
        <w:rPr>
          <w:rFonts w:asciiTheme="minorHAnsi" w:hAnsiTheme="minorHAnsi" w:cstheme="minorHAnsi"/>
          <w:sz w:val="22"/>
          <w:szCs w:val="22"/>
        </w:rPr>
        <w:t xml:space="preserve"> zgodności z zakresem tematycznym wskazanym w ogłoszeniu o naborze wniosków,</w:t>
      </w:r>
    </w:p>
    <w:p w14:paraId="04FF66E1" w14:textId="5B266704" w:rsidR="005870A5" w:rsidRPr="009D4E26" w:rsidRDefault="00EE22F2" w:rsidP="00EE22F2">
      <w:pPr>
        <w:ind w:left="720"/>
        <w:jc w:val="both"/>
        <w:rPr>
          <w:rFonts w:asciiTheme="minorHAnsi" w:hAnsiTheme="minorHAnsi" w:cstheme="minorHAnsi"/>
          <w:sz w:val="22"/>
          <w:szCs w:val="22"/>
        </w:rPr>
      </w:pPr>
      <w:r>
        <w:rPr>
          <w:rFonts w:asciiTheme="minorHAnsi" w:hAnsiTheme="minorHAnsi" w:cstheme="minorHAnsi"/>
          <w:sz w:val="22"/>
          <w:szCs w:val="22"/>
        </w:rPr>
        <w:t xml:space="preserve">d. </w:t>
      </w:r>
      <w:r w:rsidR="005870A5" w:rsidRPr="009D4E26">
        <w:rPr>
          <w:rFonts w:asciiTheme="minorHAnsi" w:hAnsiTheme="minorHAnsi" w:cstheme="minorHAnsi"/>
          <w:sz w:val="22"/>
          <w:szCs w:val="22"/>
        </w:rPr>
        <w:t xml:space="preserve"> złożenia wniosku o przyznanie pomocy w miejscu i terminie wskazanym w ogłoszeniu o naborze</w:t>
      </w:r>
      <w:r>
        <w:rPr>
          <w:rFonts w:asciiTheme="minorHAnsi" w:hAnsiTheme="minorHAnsi" w:cstheme="minorHAnsi"/>
          <w:sz w:val="22"/>
          <w:szCs w:val="22"/>
        </w:rPr>
        <w:t xml:space="preserve"> </w:t>
      </w:r>
      <w:r w:rsidR="005870A5" w:rsidRPr="009D4E26">
        <w:rPr>
          <w:rFonts w:asciiTheme="minorHAnsi" w:hAnsiTheme="minorHAnsi" w:cstheme="minorHAnsi"/>
          <w:sz w:val="22"/>
          <w:szCs w:val="22"/>
        </w:rPr>
        <w:t>wniosków.</w:t>
      </w:r>
    </w:p>
    <w:p w14:paraId="551A66A1" w14:textId="77777777" w:rsidR="005870A5" w:rsidRPr="009D4E26" w:rsidRDefault="005870A5" w:rsidP="009D4E26">
      <w:pPr>
        <w:pStyle w:val="Akapitzlist"/>
        <w:widowControl w:val="0"/>
        <w:numPr>
          <w:ilvl w:val="0"/>
          <w:numId w:val="22"/>
        </w:numPr>
        <w:suppressAutoHyphens/>
        <w:spacing w:after="0" w:line="240" w:lineRule="auto"/>
        <w:contextualSpacing w:val="0"/>
        <w:jc w:val="both"/>
        <w:rPr>
          <w:rFonts w:cstheme="minorHAnsi"/>
        </w:rPr>
      </w:pPr>
      <w:r w:rsidRPr="009D4E26">
        <w:rPr>
          <w:rFonts w:cstheme="minorHAnsi"/>
        </w:rPr>
        <w:lastRenderedPageBreak/>
        <w:t xml:space="preserve">Ocena operacji dokonywana przez Radę poprzedzona jest oceną wstępną dokonywaną przez Biuro. Ocena ta ma na celu zweryfikowanie wniosku i załączników do wniosku pod kątem ich kompletności oraz pod kątem okoliczności niezbędnych do dokonania przez Radę oceny, o której mowa w ust. 2 i 3. </w:t>
      </w:r>
    </w:p>
    <w:p w14:paraId="70E024B9" w14:textId="46D2817D" w:rsidR="005870A5" w:rsidRPr="009D4E26" w:rsidRDefault="005870A5" w:rsidP="009D4E26">
      <w:pPr>
        <w:pStyle w:val="Akapitzlist"/>
        <w:widowControl w:val="0"/>
        <w:numPr>
          <w:ilvl w:val="0"/>
          <w:numId w:val="22"/>
        </w:numPr>
        <w:suppressAutoHyphens/>
        <w:spacing w:after="0" w:line="240" w:lineRule="auto"/>
        <w:contextualSpacing w:val="0"/>
        <w:jc w:val="both"/>
        <w:rPr>
          <w:rFonts w:cstheme="minorHAnsi"/>
        </w:rPr>
      </w:pPr>
      <w:r w:rsidRPr="009D4E26">
        <w:rPr>
          <w:rFonts w:cstheme="minorHAnsi"/>
        </w:rPr>
        <w:t>W celu dokonania oceny wstępnej pracownik Biura wypełnia dla każdego wnios</w:t>
      </w:r>
      <w:r w:rsidR="00F96BDC" w:rsidRPr="009D4E26">
        <w:rPr>
          <w:rFonts w:cstheme="minorHAnsi"/>
        </w:rPr>
        <w:t>ku kartę weryfikacji wstępnej (załącznik nr 1</w:t>
      </w:r>
      <w:r w:rsidRPr="009D4E26">
        <w:rPr>
          <w:rFonts w:cstheme="minorHAnsi"/>
        </w:rPr>
        <w:t>) ora</w:t>
      </w:r>
      <w:r w:rsidR="00F96BDC" w:rsidRPr="009D4E26">
        <w:rPr>
          <w:rFonts w:cstheme="minorHAnsi"/>
        </w:rPr>
        <w:t>z kartę zgodności z Programem (</w:t>
      </w:r>
      <w:r w:rsidRPr="009D4E26">
        <w:rPr>
          <w:rFonts w:cstheme="minorHAnsi"/>
        </w:rPr>
        <w:t xml:space="preserve">załącznik nr </w:t>
      </w:r>
      <w:r w:rsidR="00F96BDC" w:rsidRPr="009D4E26">
        <w:rPr>
          <w:rFonts w:cstheme="minorHAnsi"/>
        </w:rPr>
        <w:t>2</w:t>
      </w:r>
      <w:r w:rsidRPr="009D4E26">
        <w:rPr>
          <w:rFonts w:cstheme="minorHAnsi"/>
        </w:rPr>
        <w:t xml:space="preserve">), zawierająca punkty kontrolne wskazane w wytycznych Ministra Rolnictwa i Rozwoju Wsi. </w:t>
      </w:r>
    </w:p>
    <w:p w14:paraId="61EDBF2C" w14:textId="39B4EDAC" w:rsidR="005870A5" w:rsidRPr="009D4E26" w:rsidRDefault="005870A5" w:rsidP="009D4E26">
      <w:pPr>
        <w:pStyle w:val="Akapitzlist"/>
        <w:widowControl w:val="0"/>
        <w:numPr>
          <w:ilvl w:val="0"/>
          <w:numId w:val="22"/>
        </w:numPr>
        <w:suppressAutoHyphens/>
        <w:spacing w:after="0" w:line="240" w:lineRule="auto"/>
        <w:contextualSpacing w:val="0"/>
        <w:jc w:val="both"/>
        <w:rPr>
          <w:rFonts w:cstheme="minorHAnsi"/>
        </w:rPr>
      </w:pPr>
      <w:r w:rsidRPr="009D4E26">
        <w:rPr>
          <w:rFonts w:cstheme="minorHAnsi"/>
        </w:rPr>
        <w:t xml:space="preserve">Jeżeli w wyniku oceny wstępnej wniosków konieczne jest uzyskanie wyjaśnień lub dokumentów niezbędnych do oceny zgodności operacji z LSR, wyboru operacji lub ustalenia kwoty wsparcia, LGD wzywa wnioskodawcę do złożenia tych wyjaśnień lub dokumentów. Wezwanie następuje w formie pisemnej i przesyłane jest drogą elektroniczną na adres wskazany we wniosku o przyznanie pomocy. W przypadku braku takiego adresu LGD wysyła wezwanie za pośrednictwem tradycyjnej poczty. W wezwaniu LGD wskazuje kwestie, które wymagają złożenia przez wnioskodawcę wyjaśnienia lub złożenia dokumentów oraz wyznacza </w:t>
      </w:r>
      <w:r w:rsidR="00827AF4" w:rsidRPr="009D4E26">
        <w:rPr>
          <w:rFonts w:cstheme="minorHAnsi"/>
        </w:rPr>
        <w:t>grantobiorcy</w:t>
      </w:r>
      <w:r w:rsidRPr="009D4E26">
        <w:rPr>
          <w:rFonts w:cstheme="minorHAnsi"/>
        </w:rPr>
        <w:t xml:space="preserve"> 7-dniowy termin na złożenie do LGD w formie pisemnej tych wyjaśnień lub dokumentów, pouczając o treści art. 21 ust. 1c ustawy o RLKS i o tym, że:</w:t>
      </w:r>
    </w:p>
    <w:p w14:paraId="78CBDF76" w14:textId="1F583570" w:rsidR="005870A5" w:rsidRPr="009D4E26" w:rsidRDefault="005870A5" w:rsidP="009D4E26">
      <w:pPr>
        <w:pStyle w:val="Akapitzlist"/>
        <w:widowControl w:val="0"/>
        <w:numPr>
          <w:ilvl w:val="3"/>
          <w:numId w:val="20"/>
        </w:numPr>
        <w:suppressAutoHyphens/>
        <w:spacing w:after="0" w:line="240" w:lineRule="auto"/>
        <w:contextualSpacing w:val="0"/>
        <w:jc w:val="both"/>
        <w:rPr>
          <w:rFonts w:cstheme="minorHAnsi"/>
        </w:rPr>
      </w:pPr>
      <w:r w:rsidRPr="009D4E26">
        <w:rPr>
          <w:rFonts w:cstheme="minorHAnsi"/>
        </w:rPr>
        <w:t xml:space="preserve">termin, o którym mowa wyżej liczony jest od dnia wysłania przez LGD wezwania do </w:t>
      </w:r>
      <w:r w:rsidR="00827AF4" w:rsidRPr="009D4E26">
        <w:rPr>
          <w:rFonts w:cstheme="minorHAnsi"/>
        </w:rPr>
        <w:t>grantobiorcy</w:t>
      </w:r>
      <w:r w:rsidRPr="009D4E26">
        <w:rPr>
          <w:rFonts w:cstheme="minorHAnsi"/>
        </w:rPr>
        <w:t>;</w:t>
      </w:r>
    </w:p>
    <w:p w14:paraId="4048A1F6" w14:textId="77777777" w:rsidR="005870A5" w:rsidRPr="009D4E26" w:rsidRDefault="005870A5" w:rsidP="009D4E26">
      <w:pPr>
        <w:pStyle w:val="Akapitzlist"/>
        <w:widowControl w:val="0"/>
        <w:numPr>
          <w:ilvl w:val="3"/>
          <w:numId w:val="20"/>
        </w:numPr>
        <w:suppressAutoHyphens/>
        <w:spacing w:after="0" w:line="240" w:lineRule="auto"/>
        <w:contextualSpacing w:val="0"/>
        <w:jc w:val="both"/>
        <w:rPr>
          <w:rFonts w:cstheme="minorHAnsi"/>
        </w:rPr>
      </w:pPr>
      <w:r w:rsidRPr="009D4E26">
        <w:rPr>
          <w:rFonts w:cstheme="minorHAnsi"/>
        </w:rPr>
        <w:t>termin zostanie uznany za zachowany, jeżeli we wskazanym wyżej terminie wyjaśnienia lub dokumenty zostaną złożone w formie pisemnej w biurze LGD (liczy się data wpływu pisma do biura LGD, a nie data stempla pocztowego);</w:t>
      </w:r>
    </w:p>
    <w:p w14:paraId="3D7A2A04" w14:textId="2BBFFBC6" w:rsidR="005870A5" w:rsidRPr="009D4E26" w:rsidRDefault="005870A5" w:rsidP="009D4E26">
      <w:pPr>
        <w:pStyle w:val="Akapitzlist"/>
        <w:widowControl w:val="0"/>
        <w:numPr>
          <w:ilvl w:val="3"/>
          <w:numId w:val="20"/>
        </w:numPr>
        <w:suppressAutoHyphens/>
        <w:spacing w:after="0" w:line="240" w:lineRule="auto"/>
        <w:contextualSpacing w:val="0"/>
        <w:jc w:val="both"/>
        <w:rPr>
          <w:rFonts w:cstheme="minorHAnsi"/>
        </w:rPr>
      </w:pPr>
      <w:r w:rsidRPr="009D4E26">
        <w:rPr>
          <w:rFonts w:cstheme="minorHAnsi"/>
        </w:rPr>
        <w:t xml:space="preserve">zgodnie z art. 21 ust. 1c ustawy o RLKS, </w:t>
      </w:r>
      <w:r w:rsidR="00F96BDC" w:rsidRPr="009D4E26">
        <w:rPr>
          <w:rFonts w:cstheme="minorHAnsi"/>
        </w:rPr>
        <w:t>grantobiorca</w:t>
      </w:r>
      <w:r w:rsidRPr="009D4E26">
        <w:rPr>
          <w:rFonts w:cstheme="minorHAnsi"/>
        </w:rPr>
        <w:t xml:space="preserve"> jest obowiązany przedstawiać dowody oraz składać wyjaśnienia niezbędne do oceny zgodności operacji z LSR, wyboru operacji lub ustalenia kwoty wsparcia zgodnie z prawdą i bez zatajania czegokolwiek. Ciężar udowodnienia faktu spoczywa na </w:t>
      </w:r>
      <w:r w:rsidR="00827AF4" w:rsidRPr="009D4E26">
        <w:rPr>
          <w:rFonts w:cstheme="minorHAnsi"/>
        </w:rPr>
        <w:t>grantobiorcy</w:t>
      </w:r>
      <w:r w:rsidRPr="009D4E26">
        <w:rPr>
          <w:rFonts w:cstheme="minorHAnsi"/>
        </w:rPr>
        <w:t xml:space="preserve">. W związku z czym jeżeli w wyznaczonym terminie </w:t>
      </w:r>
      <w:r w:rsidR="00F96BDC" w:rsidRPr="009D4E26">
        <w:rPr>
          <w:rFonts w:cstheme="minorHAnsi"/>
        </w:rPr>
        <w:t>grantobiorca</w:t>
      </w:r>
      <w:r w:rsidRPr="009D4E26">
        <w:rPr>
          <w:rFonts w:cstheme="minorHAnsi"/>
        </w:rPr>
        <w:t xml:space="preserve"> nie przedłoży stosownych wyjaśnień lub dokumentów, LGD uzna okoliczności, których mają dotyczyć te dokumenty lub wyjaśnienia, za nieudowodnione przez wnioskodawcę.</w:t>
      </w:r>
    </w:p>
    <w:p w14:paraId="12AAB884" w14:textId="19276F77" w:rsidR="005870A5" w:rsidRPr="009D4E26" w:rsidRDefault="005870A5" w:rsidP="009D4E26">
      <w:pPr>
        <w:pStyle w:val="Akapitzlist"/>
        <w:widowControl w:val="0"/>
        <w:numPr>
          <w:ilvl w:val="0"/>
          <w:numId w:val="22"/>
        </w:numPr>
        <w:suppressAutoHyphens/>
        <w:spacing w:after="0" w:line="240" w:lineRule="auto"/>
        <w:ind w:hanging="357"/>
        <w:contextualSpacing w:val="0"/>
        <w:jc w:val="both"/>
        <w:rPr>
          <w:rFonts w:cstheme="minorHAnsi"/>
        </w:rPr>
      </w:pPr>
      <w:r w:rsidRPr="009D4E26">
        <w:rPr>
          <w:rFonts w:cstheme="minorHAnsi"/>
        </w:rPr>
        <w:t xml:space="preserve">Wezwanie </w:t>
      </w:r>
      <w:r w:rsidR="00827AF4" w:rsidRPr="009D4E26">
        <w:rPr>
          <w:rFonts w:cstheme="minorHAnsi"/>
        </w:rPr>
        <w:t>grantobiorcy</w:t>
      </w:r>
      <w:r w:rsidRPr="009D4E26">
        <w:rPr>
          <w:rFonts w:cstheme="minorHAnsi"/>
        </w:rPr>
        <w:t xml:space="preserve"> przez LGD do złożenia wyjaśnień lub dokumentów powinno mieć miejsce przynajmniej w przypadku, gdy:</w:t>
      </w:r>
    </w:p>
    <w:p w14:paraId="3A756A5C" w14:textId="46B7FEFB" w:rsidR="005870A5" w:rsidRPr="009D4E26" w:rsidRDefault="005870A5" w:rsidP="009D4E26">
      <w:pPr>
        <w:pStyle w:val="Akapitzlist"/>
        <w:widowControl w:val="0"/>
        <w:numPr>
          <w:ilvl w:val="0"/>
          <w:numId w:val="21"/>
        </w:numPr>
        <w:suppressAutoHyphens/>
        <w:spacing w:after="0" w:line="240" w:lineRule="auto"/>
        <w:ind w:left="1134" w:hanging="357"/>
        <w:contextualSpacing w:val="0"/>
        <w:jc w:val="both"/>
        <w:rPr>
          <w:rFonts w:cstheme="minorHAnsi"/>
        </w:rPr>
      </w:pPr>
      <w:r w:rsidRPr="009D4E26">
        <w:rPr>
          <w:rFonts w:cstheme="minorHAnsi"/>
        </w:rPr>
        <w:t xml:space="preserve">dany dokument mający stanowić załącznik do wniosku nie został do niego załączony pomimo zaznaczenia w formularzu wniosku, iż </w:t>
      </w:r>
      <w:r w:rsidR="00F96BDC" w:rsidRPr="009D4E26">
        <w:rPr>
          <w:rFonts w:cstheme="minorHAnsi"/>
        </w:rPr>
        <w:t>grantobiorca</w:t>
      </w:r>
      <w:r w:rsidRPr="009D4E26">
        <w:rPr>
          <w:rFonts w:cstheme="minorHAnsi"/>
        </w:rPr>
        <w:t xml:space="preserve"> go załącza;</w:t>
      </w:r>
    </w:p>
    <w:p w14:paraId="457E0D0F" w14:textId="0A91EC1E" w:rsidR="005870A5" w:rsidRPr="009D4E26" w:rsidRDefault="005870A5" w:rsidP="009D4E26">
      <w:pPr>
        <w:pStyle w:val="Akapitzlist"/>
        <w:widowControl w:val="0"/>
        <w:numPr>
          <w:ilvl w:val="0"/>
          <w:numId w:val="21"/>
        </w:numPr>
        <w:suppressAutoHyphens/>
        <w:spacing w:after="0" w:line="240" w:lineRule="auto"/>
        <w:ind w:left="1134" w:hanging="357"/>
        <w:contextualSpacing w:val="0"/>
        <w:jc w:val="both"/>
        <w:rPr>
          <w:rFonts w:cstheme="minorHAnsi"/>
        </w:rPr>
      </w:pPr>
      <w:r w:rsidRPr="009D4E26">
        <w:rPr>
          <w:rFonts w:cstheme="minorHAnsi"/>
        </w:rPr>
        <w:t xml:space="preserve">dany dokument nie został załączony (niezależnie od deklaracji </w:t>
      </w:r>
      <w:r w:rsidR="00827AF4" w:rsidRPr="009D4E26">
        <w:rPr>
          <w:rFonts w:cstheme="minorHAnsi"/>
        </w:rPr>
        <w:t>grantobiorcy</w:t>
      </w:r>
      <w:r w:rsidRPr="009D4E26">
        <w:rPr>
          <w:rFonts w:cstheme="minorHAnsi"/>
        </w:rPr>
        <w:t xml:space="preserve"> wyrażonej we wniosku), a z formularza wniosku wynika, że jest to dokument obowiązkowy;</w:t>
      </w:r>
    </w:p>
    <w:p w14:paraId="0FC7D6CA" w14:textId="77777777" w:rsidR="005870A5" w:rsidRPr="009D4E26" w:rsidRDefault="005870A5" w:rsidP="009D4E26">
      <w:pPr>
        <w:pStyle w:val="Akapitzlist"/>
        <w:widowControl w:val="0"/>
        <w:numPr>
          <w:ilvl w:val="0"/>
          <w:numId w:val="21"/>
        </w:numPr>
        <w:suppressAutoHyphens/>
        <w:spacing w:after="0" w:line="240" w:lineRule="auto"/>
        <w:ind w:left="1134" w:hanging="357"/>
        <w:contextualSpacing w:val="0"/>
        <w:jc w:val="both"/>
        <w:rPr>
          <w:rFonts w:cstheme="minorHAnsi"/>
        </w:rPr>
      </w:pPr>
      <w:r w:rsidRPr="009D4E26">
        <w:rPr>
          <w:rFonts w:cstheme="minorHAnsi"/>
        </w:rPr>
        <w:t>informacje zawarte we wniosku o przyznanie pomocy oraz załącznikach są rozbieżne.</w:t>
      </w:r>
    </w:p>
    <w:p w14:paraId="0087AACD" w14:textId="56E4598D" w:rsidR="005870A5" w:rsidRPr="009D4E26" w:rsidRDefault="005870A5" w:rsidP="009D4E26">
      <w:pPr>
        <w:pStyle w:val="Akapitzlist"/>
        <w:widowControl w:val="0"/>
        <w:numPr>
          <w:ilvl w:val="0"/>
          <w:numId w:val="22"/>
        </w:numPr>
        <w:suppressAutoHyphens/>
        <w:spacing w:after="0" w:line="240" w:lineRule="auto"/>
        <w:ind w:hanging="357"/>
        <w:contextualSpacing w:val="0"/>
        <w:jc w:val="both"/>
        <w:rPr>
          <w:rFonts w:cstheme="minorHAnsi"/>
        </w:rPr>
      </w:pPr>
      <w:r w:rsidRPr="009D4E26">
        <w:rPr>
          <w:rFonts w:cstheme="minorHAnsi"/>
        </w:rPr>
        <w:t xml:space="preserve">LGD może wzywać wnioskodawcę do złożenia wyjaśnień dotyczących określonej kwestii lub przedłożenia określonego dokumentu tylko raz. W przypadku nieprzedłożenia wyjaśnień lub dokumentów w wyznaczonym terminie, uznaje się, że </w:t>
      </w:r>
      <w:r w:rsidR="00F96BDC" w:rsidRPr="009D4E26">
        <w:rPr>
          <w:rFonts w:cstheme="minorHAnsi"/>
        </w:rPr>
        <w:t>Grantobiorca</w:t>
      </w:r>
      <w:r w:rsidRPr="009D4E26">
        <w:rPr>
          <w:rFonts w:cstheme="minorHAnsi"/>
        </w:rPr>
        <w:t xml:space="preserve"> nie udowodnił okoliczności, które miały zostać dzięki tym wyjaśnieniom lub dokumentom potwierdzone.</w:t>
      </w:r>
    </w:p>
    <w:p w14:paraId="6FB01C6A" w14:textId="77777777" w:rsidR="005870A5" w:rsidRPr="009D4E26" w:rsidRDefault="005870A5" w:rsidP="009D4E26">
      <w:pPr>
        <w:pStyle w:val="Akapitzlist"/>
        <w:widowControl w:val="0"/>
        <w:numPr>
          <w:ilvl w:val="0"/>
          <w:numId w:val="22"/>
        </w:numPr>
        <w:suppressAutoHyphens/>
        <w:spacing w:after="0" w:line="240" w:lineRule="auto"/>
        <w:contextualSpacing w:val="0"/>
        <w:jc w:val="both"/>
        <w:rPr>
          <w:rFonts w:cstheme="minorHAnsi"/>
        </w:rPr>
      </w:pPr>
      <w:r w:rsidRPr="009D4E26">
        <w:rPr>
          <w:rFonts w:cstheme="minorHAnsi"/>
        </w:rPr>
        <w:t>Po otrzymaniu wyjaśnień lub dodatkowych dokumentów lub po bezskutecznym upływie 7-dniowego terminu na ich przedłożenie biuro kończy wstępną ocenę wniosków. Wstępna ocena wniosków powinna zostać zakończona najpóźniej w dniu poprzedzającym dzień wyznaczony na posiedzenie Rady.</w:t>
      </w:r>
    </w:p>
    <w:p w14:paraId="523EF336" w14:textId="77777777" w:rsidR="005870A5" w:rsidRPr="009D4E26" w:rsidRDefault="005870A5" w:rsidP="009D4E26">
      <w:pPr>
        <w:pStyle w:val="Akapitzlist"/>
        <w:widowControl w:val="0"/>
        <w:numPr>
          <w:ilvl w:val="0"/>
          <w:numId w:val="22"/>
        </w:numPr>
        <w:suppressAutoHyphens/>
        <w:spacing w:after="0" w:line="240" w:lineRule="auto"/>
        <w:contextualSpacing w:val="0"/>
        <w:jc w:val="both"/>
        <w:rPr>
          <w:rFonts w:cstheme="minorHAnsi"/>
        </w:rPr>
      </w:pPr>
      <w:r w:rsidRPr="009D4E26">
        <w:rPr>
          <w:rFonts w:cstheme="minorHAnsi"/>
        </w:rPr>
        <w:t>Wyniki oceny wstępnej Biuro utrwala w formie pisemnej oraz wprowadza do aplika</w:t>
      </w:r>
      <w:r w:rsidR="004A3485" w:rsidRPr="009D4E26">
        <w:rPr>
          <w:rFonts w:cstheme="minorHAnsi"/>
        </w:rPr>
        <w:t xml:space="preserve">cji </w:t>
      </w:r>
      <w:r w:rsidRPr="009D4E26">
        <w:rPr>
          <w:rFonts w:cstheme="minorHAnsi"/>
        </w:rPr>
        <w:t xml:space="preserve"> i prezentuje na posiedzeniu Rady. Rada ocenia operacje po zapoznaniu się z wynikami oceny wstępnej, nie jest jednak związana ustaleniami poczynionymi przez Biuro  – ostateczna decyzja dotycząca oceny operacji należy bowiem do Rady. </w:t>
      </w:r>
    </w:p>
    <w:p w14:paraId="540548CA" w14:textId="26A98FAB" w:rsidR="005870A5" w:rsidRPr="009D4E26" w:rsidRDefault="005870A5" w:rsidP="009D4E26">
      <w:pPr>
        <w:pStyle w:val="Akapitzlist"/>
        <w:widowControl w:val="0"/>
        <w:numPr>
          <w:ilvl w:val="0"/>
          <w:numId w:val="22"/>
        </w:numPr>
        <w:suppressAutoHyphens/>
        <w:spacing w:after="0" w:line="240" w:lineRule="auto"/>
        <w:contextualSpacing w:val="0"/>
        <w:jc w:val="both"/>
        <w:rPr>
          <w:rFonts w:cstheme="minorHAnsi"/>
        </w:rPr>
      </w:pPr>
      <w:r w:rsidRPr="009D4E26">
        <w:rPr>
          <w:rFonts w:cstheme="minorHAnsi"/>
        </w:rPr>
        <w:t xml:space="preserve">Z dokonywania oceny wstępnej dotyczącej danego wniosku wyłączony jest pracownik Biura LGD, co do którego mogą zachodzić wątpliwości dotyczące braku bezstronności. W celu zapewnienia bezstronności każdy pracownik Biura zaangażowany w ocenę wstępną wniosków złożonych w ramach danego naboru, przed przystąpieniem do tej oceny, ma obowiązek zapoznać się z listą wnioskodawców, którzy złożyli wnioski w naborze, wypełnić deklarację bezstronności oraz – w razie potrzeby – wyłączyć się z oceny wstępnej wniosków, co do których mogłyby zachodzić wątpliwości dotyczące braku bezstronności. </w:t>
      </w:r>
    </w:p>
    <w:p w14:paraId="380FA9AC" w14:textId="77777777" w:rsidR="00A135A7" w:rsidRPr="009D4E26" w:rsidRDefault="00A135A7" w:rsidP="009D4E26">
      <w:pPr>
        <w:pStyle w:val="Default"/>
        <w:rPr>
          <w:rFonts w:asciiTheme="minorHAnsi" w:hAnsiTheme="minorHAnsi" w:cstheme="minorHAnsi"/>
          <w:b/>
          <w:bCs/>
          <w:color w:val="FF0000"/>
          <w:sz w:val="22"/>
          <w:szCs w:val="22"/>
        </w:rPr>
      </w:pPr>
    </w:p>
    <w:p w14:paraId="201376A2" w14:textId="77777777" w:rsidR="009D4E26" w:rsidRDefault="009D4E26" w:rsidP="009D4E26">
      <w:pPr>
        <w:pStyle w:val="Default"/>
        <w:ind w:left="720"/>
        <w:jc w:val="center"/>
        <w:rPr>
          <w:rFonts w:asciiTheme="minorHAnsi" w:hAnsiTheme="minorHAnsi" w:cstheme="minorHAnsi"/>
          <w:b/>
          <w:bCs/>
          <w:color w:val="auto"/>
          <w:sz w:val="22"/>
          <w:szCs w:val="22"/>
        </w:rPr>
      </w:pPr>
    </w:p>
    <w:p w14:paraId="25BAEC69" w14:textId="77777777" w:rsidR="009D4E26" w:rsidRDefault="009D4E26" w:rsidP="009D4E26">
      <w:pPr>
        <w:pStyle w:val="Default"/>
        <w:ind w:left="720"/>
        <w:jc w:val="center"/>
        <w:rPr>
          <w:rFonts w:asciiTheme="minorHAnsi" w:hAnsiTheme="minorHAnsi" w:cstheme="minorHAnsi"/>
          <w:b/>
          <w:bCs/>
          <w:color w:val="auto"/>
          <w:sz w:val="22"/>
          <w:szCs w:val="22"/>
        </w:rPr>
      </w:pPr>
    </w:p>
    <w:p w14:paraId="36EF0743" w14:textId="7B59F674" w:rsidR="0045609D" w:rsidRPr="007D081D" w:rsidRDefault="004A3485" w:rsidP="009D4E26">
      <w:pPr>
        <w:pStyle w:val="Default"/>
        <w:ind w:left="720"/>
        <w:jc w:val="center"/>
        <w:rPr>
          <w:rFonts w:asciiTheme="minorHAnsi" w:hAnsiTheme="minorHAnsi" w:cstheme="minorHAnsi"/>
          <w:b/>
          <w:bCs/>
          <w:color w:val="auto"/>
          <w:sz w:val="22"/>
          <w:szCs w:val="22"/>
        </w:rPr>
      </w:pPr>
      <w:r w:rsidRPr="007D081D">
        <w:rPr>
          <w:rFonts w:asciiTheme="minorHAnsi" w:hAnsiTheme="minorHAnsi" w:cstheme="minorHAnsi"/>
          <w:b/>
          <w:bCs/>
          <w:color w:val="auto"/>
          <w:sz w:val="22"/>
          <w:szCs w:val="22"/>
        </w:rPr>
        <w:t>§ 4</w:t>
      </w:r>
    </w:p>
    <w:p w14:paraId="0AF6637E" w14:textId="0AD96CAE" w:rsidR="0045609D" w:rsidRDefault="007D081D" w:rsidP="009D4E26">
      <w:pPr>
        <w:autoSpaceDE w:val="0"/>
        <w:autoSpaceDN w:val="0"/>
        <w:adjustRightInd w:val="0"/>
        <w:jc w:val="center"/>
        <w:rPr>
          <w:rFonts w:asciiTheme="minorHAnsi" w:eastAsia="Calibri" w:hAnsiTheme="minorHAnsi" w:cs="Calibri"/>
          <w:b/>
          <w:sz w:val="22"/>
          <w:szCs w:val="22"/>
          <w:lang w:eastAsia="en-US"/>
        </w:rPr>
      </w:pPr>
      <w:r>
        <w:rPr>
          <w:rFonts w:asciiTheme="minorHAnsi" w:eastAsia="Calibri" w:hAnsiTheme="minorHAnsi" w:cs="Calibri"/>
          <w:b/>
          <w:sz w:val="22"/>
          <w:szCs w:val="22"/>
          <w:lang w:eastAsia="en-US"/>
        </w:rPr>
        <w:t xml:space="preserve">            </w:t>
      </w:r>
      <w:r w:rsidR="00294753" w:rsidRPr="009D4E26">
        <w:rPr>
          <w:rFonts w:asciiTheme="minorHAnsi" w:eastAsia="Calibri" w:hAnsiTheme="minorHAnsi" w:cs="Calibri"/>
          <w:b/>
          <w:sz w:val="22"/>
          <w:szCs w:val="22"/>
          <w:lang w:eastAsia="en-US"/>
        </w:rPr>
        <w:t xml:space="preserve">Ocena zgodności z </w:t>
      </w:r>
      <w:r w:rsidR="0045609D" w:rsidRPr="009D4E26">
        <w:rPr>
          <w:rFonts w:asciiTheme="minorHAnsi" w:eastAsia="Calibri" w:hAnsiTheme="minorHAnsi" w:cs="Calibri"/>
          <w:b/>
          <w:sz w:val="22"/>
          <w:szCs w:val="22"/>
          <w:lang w:eastAsia="en-US"/>
        </w:rPr>
        <w:t>LSR</w:t>
      </w:r>
    </w:p>
    <w:p w14:paraId="155367CD" w14:textId="77777777" w:rsidR="00EE22F2" w:rsidRPr="009D4E26" w:rsidRDefault="00EE22F2" w:rsidP="009D4E26">
      <w:pPr>
        <w:autoSpaceDE w:val="0"/>
        <w:autoSpaceDN w:val="0"/>
        <w:adjustRightInd w:val="0"/>
        <w:jc w:val="center"/>
        <w:rPr>
          <w:rFonts w:asciiTheme="minorHAnsi" w:eastAsia="Calibri" w:hAnsiTheme="minorHAnsi" w:cs="Calibri"/>
          <w:sz w:val="22"/>
          <w:szCs w:val="22"/>
          <w:lang w:eastAsia="en-US"/>
        </w:rPr>
      </w:pPr>
    </w:p>
    <w:p w14:paraId="7DC44BAC" w14:textId="0DCAE78D" w:rsidR="0045609D" w:rsidRPr="009D4E26" w:rsidRDefault="0045609D" w:rsidP="009D4E26">
      <w:pPr>
        <w:widowControl w:val="0"/>
        <w:numPr>
          <w:ilvl w:val="0"/>
          <w:numId w:val="24"/>
        </w:numPr>
        <w:suppressAutoHyphens/>
        <w:jc w:val="both"/>
        <w:rPr>
          <w:rFonts w:asciiTheme="minorHAnsi" w:eastAsia="SimSun" w:hAnsiTheme="minorHAnsi" w:cs="Calibri"/>
          <w:kern w:val="1"/>
          <w:sz w:val="22"/>
          <w:szCs w:val="22"/>
          <w:lang w:eastAsia="hi-IN" w:bidi="hi-IN"/>
        </w:rPr>
      </w:pPr>
      <w:r w:rsidRPr="009D4E26">
        <w:rPr>
          <w:rFonts w:asciiTheme="minorHAnsi" w:eastAsia="SimSun" w:hAnsiTheme="minorHAnsi" w:cs="Calibri"/>
          <w:kern w:val="1"/>
          <w:sz w:val="22"/>
          <w:szCs w:val="22"/>
          <w:lang w:eastAsia="hi-IN" w:bidi="hi-IN"/>
        </w:rPr>
        <w:t xml:space="preserve">Do przeprowadzenia oceny zgodności operacji z LSR ( załącznik nr 3  ) przez członków Rady służy karta oceny zgodności z LSR, na której członek Rady zaznacza odpowiedzi dotyczące zgodności operacji z LSR, odpowiadając na pytania </w:t>
      </w:r>
      <w:r w:rsidR="00032EF7" w:rsidRPr="009D4E26">
        <w:rPr>
          <w:rFonts w:asciiTheme="minorHAnsi" w:eastAsia="SimSun" w:hAnsiTheme="minorHAnsi" w:cs="Calibri"/>
          <w:kern w:val="1"/>
          <w:sz w:val="22"/>
          <w:szCs w:val="22"/>
          <w:lang w:eastAsia="hi-IN" w:bidi="hi-IN"/>
        </w:rPr>
        <w:t xml:space="preserve">zawarte w karcie. </w:t>
      </w:r>
    </w:p>
    <w:p w14:paraId="6E97F460" w14:textId="1BA79B14" w:rsidR="0045609D" w:rsidRPr="009D4E26" w:rsidRDefault="0045609D" w:rsidP="009D4E26">
      <w:pPr>
        <w:widowControl w:val="0"/>
        <w:numPr>
          <w:ilvl w:val="0"/>
          <w:numId w:val="24"/>
        </w:numPr>
        <w:suppressAutoHyphens/>
        <w:jc w:val="both"/>
        <w:rPr>
          <w:rFonts w:asciiTheme="minorHAnsi" w:eastAsia="SimSun" w:hAnsiTheme="minorHAnsi" w:cs="Calibri"/>
          <w:kern w:val="1"/>
          <w:sz w:val="22"/>
          <w:szCs w:val="22"/>
          <w:lang w:eastAsia="hi-IN" w:bidi="hi-IN"/>
        </w:rPr>
      </w:pPr>
      <w:r w:rsidRPr="009D4E26">
        <w:rPr>
          <w:rFonts w:asciiTheme="minorHAnsi" w:eastAsia="SimSun" w:hAnsiTheme="minorHAnsi" w:cs="Calibri"/>
          <w:kern w:val="1"/>
          <w:sz w:val="22"/>
          <w:szCs w:val="22"/>
          <w:lang w:eastAsia="hi-IN" w:bidi="hi-IN"/>
        </w:rPr>
        <w:t>J</w:t>
      </w:r>
      <w:r w:rsidR="00032EF7" w:rsidRPr="009D4E26">
        <w:rPr>
          <w:rFonts w:asciiTheme="minorHAnsi" w:eastAsia="SimSun" w:hAnsiTheme="minorHAnsi" w:cs="Calibri"/>
          <w:kern w:val="1"/>
          <w:sz w:val="22"/>
          <w:szCs w:val="22"/>
          <w:lang w:eastAsia="hi-IN" w:bidi="hi-IN"/>
        </w:rPr>
        <w:t>eżeli członek Rady, udzieli</w:t>
      </w:r>
      <w:r w:rsidRPr="009D4E26">
        <w:rPr>
          <w:rFonts w:asciiTheme="minorHAnsi" w:eastAsia="SimSun" w:hAnsiTheme="minorHAnsi" w:cs="Calibri"/>
          <w:kern w:val="1"/>
          <w:sz w:val="22"/>
          <w:szCs w:val="22"/>
          <w:lang w:eastAsia="hi-IN" w:bidi="hi-IN"/>
        </w:rPr>
        <w:t xml:space="preserve"> pozytywnej odpowiedzi na wszystkie pytania powinien na karcie zgodności operacji z LSR zaznaczyć również odpowiedź, że uznaje operację za zgodną z LSR. W przypadku negatywnej odpowiedzi na którekolwiek z pytań, członek Rady powinien na karcie zgodności operacji z LSR zaznaczyć odpowiedź, że uznaje operację za niezgodną z LSR. Negatywna ocena operacji z LSR wymaga uzasadnienia przez członka Rady.</w:t>
      </w:r>
    </w:p>
    <w:p w14:paraId="5687007C" w14:textId="77777777" w:rsidR="0045609D" w:rsidRPr="009D4E26" w:rsidRDefault="0045609D" w:rsidP="009D4E26">
      <w:pPr>
        <w:widowControl w:val="0"/>
        <w:numPr>
          <w:ilvl w:val="0"/>
          <w:numId w:val="24"/>
        </w:numPr>
        <w:suppressAutoHyphens/>
        <w:jc w:val="both"/>
        <w:rPr>
          <w:rFonts w:asciiTheme="minorHAnsi" w:eastAsia="SimSun" w:hAnsiTheme="minorHAnsi" w:cs="Calibri"/>
          <w:kern w:val="1"/>
          <w:sz w:val="22"/>
          <w:szCs w:val="22"/>
          <w:lang w:eastAsia="hi-IN" w:bidi="hi-IN"/>
        </w:rPr>
      </w:pPr>
      <w:r w:rsidRPr="009D4E26">
        <w:rPr>
          <w:rFonts w:asciiTheme="minorHAnsi" w:eastAsia="SimSun" w:hAnsiTheme="minorHAnsi" w:cs="Calibri"/>
          <w:kern w:val="1"/>
          <w:sz w:val="22"/>
          <w:szCs w:val="22"/>
          <w:lang w:eastAsia="hi-IN" w:bidi="hi-IN"/>
        </w:rPr>
        <w:t>Oceny zgodności operacji z LSR dokonują wszyscy członkowie Rady, wobec których nie zachodzą przesłanki wyłączenia z oceny.</w:t>
      </w:r>
    </w:p>
    <w:p w14:paraId="142A6765" w14:textId="77777777" w:rsidR="0045609D" w:rsidRPr="009D4E26" w:rsidRDefault="0045609D" w:rsidP="009D4E26">
      <w:pPr>
        <w:widowControl w:val="0"/>
        <w:numPr>
          <w:ilvl w:val="0"/>
          <w:numId w:val="24"/>
        </w:numPr>
        <w:suppressAutoHyphens/>
        <w:jc w:val="both"/>
        <w:rPr>
          <w:rFonts w:asciiTheme="minorHAnsi" w:eastAsia="SimSun" w:hAnsiTheme="minorHAnsi" w:cs="Calibri"/>
          <w:kern w:val="1"/>
          <w:sz w:val="22"/>
          <w:szCs w:val="22"/>
          <w:lang w:eastAsia="hi-IN" w:bidi="hi-IN"/>
        </w:rPr>
      </w:pPr>
      <w:r w:rsidRPr="009D4E26">
        <w:rPr>
          <w:rFonts w:asciiTheme="minorHAnsi" w:eastAsia="SimSun" w:hAnsiTheme="minorHAnsi" w:cs="Calibri"/>
          <w:kern w:val="1"/>
          <w:sz w:val="22"/>
          <w:szCs w:val="22"/>
          <w:lang w:eastAsia="hi-IN" w:bidi="hi-IN"/>
        </w:rPr>
        <w:t>Operacja otrzymuje pozytywną ocenę zgodność z LSR, jeśli zwykła większość członków Rady uznało operację za zgodną z LSR. W przypadku równej liczby głosów za zgodnością operacji z LSR i przeciwko tej zgodności, rozstrzygające znaczenie ma głos Przewodniczącego Rady lub Zastępcy prowadzącego posiedzenie Rady.</w:t>
      </w:r>
    </w:p>
    <w:p w14:paraId="39CD5912" w14:textId="77777777" w:rsidR="0045609D" w:rsidRPr="009D4E26" w:rsidRDefault="0045609D" w:rsidP="009D4E26">
      <w:pPr>
        <w:widowControl w:val="0"/>
        <w:numPr>
          <w:ilvl w:val="0"/>
          <w:numId w:val="24"/>
        </w:numPr>
        <w:suppressAutoHyphens/>
        <w:jc w:val="both"/>
        <w:rPr>
          <w:rFonts w:asciiTheme="minorHAnsi" w:eastAsia="SimSun" w:hAnsiTheme="minorHAnsi" w:cs="Calibri"/>
          <w:kern w:val="1"/>
          <w:sz w:val="22"/>
          <w:szCs w:val="22"/>
          <w:lang w:eastAsia="hi-IN" w:bidi="hi-IN"/>
        </w:rPr>
      </w:pPr>
      <w:r w:rsidRPr="009D4E26">
        <w:rPr>
          <w:rFonts w:asciiTheme="minorHAnsi" w:eastAsia="SimSun" w:hAnsiTheme="minorHAnsi" w:cs="Calibri"/>
          <w:kern w:val="1"/>
          <w:sz w:val="22"/>
          <w:szCs w:val="22"/>
          <w:lang w:eastAsia="hi-IN" w:bidi="hi-IN"/>
        </w:rPr>
        <w:t xml:space="preserve">Operacja, która nie otrzymała pozytywnej oceny jw., nie podlega dalszej ocenie co skutkuje odrzuceniem wniosku (wniosek ten nie podlega dalszej ocenie, co oznacza że nie zostanie wybrany do realizacji), jednak ostateczna decyzja jest podejmowana w drodze głosowania na posiedzeniu. </w:t>
      </w:r>
    </w:p>
    <w:p w14:paraId="15DED70A" w14:textId="77777777" w:rsidR="0045609D" w:rsidRPr="009D4E26" w:rsidRDefault="0045609D" w:rsidP="009D4E26">
      <w:pPr>
        <w:widowControl w:val="0"/>
        <w:numPr>
          <w:ilvl w:val="0"/>
          <w:numId w:val="24"/>
        </w:numPr>
        <w:suppressAutoHyphens/>
        <w:autoSpaceDE w:val="0"/>
        <w:autoSpaceDN w:val="0"/>
        <w:adjustRightInd w:val="0"/>
        <w:ind w:left="714" w:hanging="357"/>
        <w:jc w:val="both"/>
        <w:rPr>
          <w:rFonts w:asciiTheme="minorHAnsi" w:eastAsia="Calibri" w:hAnsiTheme="minorHAnsi" w:cs="Calibri"/>
          <w:sz w:val="22"/>
          <w:szCs w:val="22"/>
          <w:lang w:eastAsia="en-US"/>
        </w:rPr>
      </w:pPr>
      <w:r w:rsidRPr="009D4E26">
        <w:rPr>
          <w:rFonts w:asciiTheme="minorHAnsi" w:eastAsia="Calibri" w:hAnsiTheme="minorHAnsi" w:cs="Calibri"/>
          <w:sz w:val="22"/>
          <w:szCs w:val="22"/>
          <w:lang w:eastAsia="en-US"/>
        </w:rPr>
        <w:t xml:space="preserve">Po zakończeniu oceny, o której mowa w poprzednich ustępach tego paragrafu, tworzy się </w:t>
      </w:r>
      <w:r w:rsidRPr="009D4E26">
        <w:rPr>
          <w:rFonts w:asciiTheme="minorHAnsi" w:eastAsia="Calibri" w:hAnsiTheme="minorHAnsi" w:cs="Calibri"/>
          <w:b/>
          <w:sz w:val="22"/>
          <w:szCs w:val="22"/>
          <w:lang w:eastAsia="en-US"/>
        </w:rPr>
        <w:t>listę operacji zgodnych z LSR</w:t>
      </w:r>
      <w:r w:rsidRPr="009D4E26">
        <w:rPr>
          <w:rFonts w:asciiTheme="minorHAnsi" w:eastAsia="Calibri" w:hAnsiTheme="minorHAnsi" w:cs="Calibri"/>
          <w:sz w:val="22"/>
          <w:szCs w:val="22"/>
          <w:lang w:eastAsia="en-US"/>
        </w:rPr>
        <w:t>, którą Rada zatwierdza odrębną uchwałą.</w:t>
      </w:r>
    </w:p>
    <w:p w14:paraId="20EC69C2" w14:textId="5B1B3190" w:rsidR="0045609D" w:rsidRPr="009D4E26" w:rsidRDefault="0045609D" w:rsidP="009D4E26">
      <w:pPr>
        <w:widowControl w:val="0"/>
        <w:numPr>
          <w:ilvl w:val="0"/>
          <w:numId w:val="24"/>
        </w:numPr>
        <w:suppressAutoHyphens/>
        <w:ind w:left="714" w:hanging="357"/>
        <w:jc w:val="both"/>
        <w:rPr>
          <w:rFonts w:asciiTheme="minorHAnsi" w:eastAsia="Calibri" w:hAnsiTheme="minorHAnsi" w:cs="Calibri"/>
          <w:sz w:val="22"/>
          <w:szCs w:val="22"/>
          <w:lang w:eastAsia="en-US"/>
        </w:rPr>
      </w:pPr>
      <w:r w:rsidRPr="009D4E26">
        <w:rPr>
          <w:rFonts w:asciiTheme="minorHAnsi" w:eastAsia="Calibri" w:hAnsiTheme="minorHAnsi" w:cs="Calibri"/>
          <w:sz w:val="22"/>
          <w:szCs w:val="22"/>
          <w:lang w:eastAsia="en-US"/>
        </w:rPr>
        <w:t xml:space="preserve">Jeśli wniosek został odrzucony z powodu niezgodności z LSR, </w:t>
      </w:r>
      <w:r w:rsidR="00F96BDC" w:rsidRPr="009D4E26">
        <w:rPr>
          <w:rFonts w:asciiTheme="minorHAnsi" w:eastAsia="Calibri" w:hAnsiTheme="minorHAnsi" w:cs="Calibri"/>
          <w:sz w:val="22"/>
          <w:szCs w:val="22"/>
          <w:lang w:eastAsia="en-US"/>
        </w:rPr>
        <w:t>grantobiorca</w:t>
      </w:r>
      <w:r w:rsidRPr="009D4E26">
        <w:rPr>
          <w:rFonts w:asciiTheme="minorHAnsi" w:eastAsia="Calibri" w:hAnsiTheme="minorHAnsi" w:cs="Calibri"/>
          <w:sz w:val="22"/>
          <w:szCs w:val="22"/>
          <w:lang w:eastAsia="en-US"/>
        </w:rPr>
        <w:t xml:space="preserve"> informowany jest o przyczynach odrzucenia wniosku oraz o możliwości złożenia </w:t>
      </w:r>
      <w:r w:rsidR="00032EF7" w:rsidRPr="009D4E26">
        <w:rPr>
          <w:rFonts w:asciiTheme="minorHAnsi" w:eastAsia="Calibri" w:hAnsiTheme="minorHAnsi" w:cs="Calibri"/>
          <w:sz w:val="22"/>
          <w:szCs w:val="22"/>
          <w:lang w:eastAsia="en-US"/>
        </w:rPr>
        <w:t>odwołania</w:t>
      </w:r>
      <w:r w:rsidRPr="009D4E26">
        <w:rPr>
          <w:rFonts w:asciiTheme="minorHAnsi" w:eastAsia="Calibri" w:hAnsiTheme="minorHAnsi" w:cs="Calibri"/>
          <w:sz w:val="22"/>
          <w:szCs w:val="22"/>
          <w:lang w:eastAsia="en-US"/>
        </w:rPr>
        <w:t xml:space="preserve">. </w:t>
      </w:r>
    </w:p>
    <w:p w14:paraId="28A20A20" w14:textId="77777777" w:rsidR="0045609D" w:rsidRPr="009D4E26" w:rsidRDefault="0045609D" w:rsidP="009D4E26">
      <w:pPr>
        <w:widowControl w:val="0"/>
        <w:numPr>
          <w:ilvl w:val="0"/>
          <w:numId w:val="24"/>
        </w:numPr>
        <w:suppressAutoHyphens/>
        <w:ind w:left="714" w:hanging="357"/>
        <w:jc w:val="both"/>
        <w:rPr>
          <w:rFonts w:asciiTheme="minorHAnsi" w:eastAsia="Calibri" w:hAnsiTheme="minorHAnsi" w:cs="Calibri"/>
          <w:sz w:val="22"/>
          <w:szCs w:val="22"/>
          <w:lang w:eastAsia="en-US"/>
        </w:rPr>
      </w:pPr>
      <w:r w:rsidRPr="009D4E26">
        <w:rPr>
          <w:rFonts w:asciiTheme="minorHAnsi" w:eastAsia="Calibri" w:hAnsiTheme="minorHAnsi" w:cs="Calibri"/>
          <w:sz w:val="22"/>
          <w:szCs w:val="22"/>
          <w:lang w:eastAsia="en-US"/>
        </w:rPr>
        <w:t xml:space="preserve">Wnioski uznane przez Radę za zgodne z LSR przekazywane są do oceny merytorycznej w oparciu o listę kryteriów wyboru punktowych zwanej dalej oceną merytoryczną - punktową. </w:t>
      </w:r>
    </w:p>
    <w:p w14:paraId="6B6B2E83" w14:textId="77777777" w:rsidR="0045609D" w:rsidRPr="009D4E26" w:rsidRDefault="0045609D" w:rsidP="009D4E26">
      <w:pPr>
        <w:pStyle w:val="Default"/>
        <w:ind w:left="720"/>
        <w:jc w:val="center"/>
        <w:rPr>
          <w:rFonts w:asciiTheme="minorHAnsi" w:hAnsiTheme="minorHAnsi" w:cstheme="minorHAnsi"/>
          <w:b/>
          <w:bCs/>
          <w:color w:val="auto"/>
          <w:sz w:val="22"/>
          <w:szCs w:val="22"/>
        </w:rPr>
      </w:pPr>
    </w:p>
    <w:p w14:paraId="09E43CF9" w14:textId="77777777" w:rsidR="00D673EF" w:rsidRPr="007D081D" w:rsidRDefault="0045609D" w:rsidP="009D4E26">
      <w:pPr>
        <w:pStyle w:val="Default"/>
        <w:ind w:left="720"/>
        <w:jc w:val="center"/>
        <w:rPr>
          <w:rFonts w:asciiTheme="minorHAnsi" w:hAnsiTheme="minorHAnsi" w:cstheme="minorHAnsi"/>
          <w:b/>
          <w:bCs/>
          <w:color w:val="auto"/>
          <w:sz w:val="22"/>
          <w:szCs w:val="22"/>
        </w:rPr>
      </w:pPr>
      <w:r w:rsidRPr="007D081D">
        <w:rPr>
          <w:rFonts w:asciiTheme="minorHAnsi" w:hAnsiTheme="minorHAnsi" w:cstheme="minorHAnsi"/>
          <w:b/>
          <w:bCs/>
          <w:color w:val="auto"/>
          <w:sz w:val="22"/>
          <w:szCs w:val="22"/>
        </w:rPr>
        <w:t>§5</w:t>
      </w:r>
    </w:p>
    <w:p w14:paraId="1403C6CB" w14:textId="77777777" w:rsidR="00D673EF" w:rsidRPr="009D4E26" w:rsidRDefault="00D673EF" w:rsidP="009D4E26">
      <w:pPr>
        <w:pStyle w:val="Default"/>
        <w:ind w:left="720"/>
        <w:jc w:val="center"/>
        <w:rPr>
          <w:rFonts w:asciiTheme="minorHAnsi" w:hAnsiTheme="minorHAnsi" w:cstheme="minorHAnsi"/>
          <w:b/>
          <w:color w:val="auto"/>
          <w:sz w:val="22"/>
          <w:szCs w:val="22"/>
        </w:rPr>
      </w:pPr>
      <w:r w:rsidRPr="009D4E26">
        <w:rPr>
          <w:rFonts w:asciiTheme="minorHAnsi" w:hAnsiTheme="minorHAnsi" w:cstheme="minorHAnsi"/>
          <w:b/>
          <w:color w:val="auto"/>
          <w:sz w:val="22"/>
          <w:szCs w:val="22"/>
        </w:rPr>
        <w:t xml:space="preserve">Ocena na podstawie kryteriów wyboru projektów </w:t>
      </w:r>
      <w:r w:rsidR="003B0E9E" w:rsidRPr="009D4E26">
        <w:rPr>
          <w:rFonts w:asciiTheme="minorHAnsi" w:hAnsiTheme="minorHAnsi" w:cstheme="minorHAnsi"/>
          <w:b/>
          <w:color w:val="auto"/>
          <w:sz w:val="22"/>
          <w:szCs w:val="22"/>
        </w:rPr>
        <w:t xml:space="preserve">grantowych </w:t>
      </w:r>
      <w:r w:rsidRPr="009D4E26">
        <w:rPr>
          <w:rFonts w:asciiTheme="minorHAnsi" w:hAnsiTheme="minorHAnsi" w:cstheme="minorHAnsi"/>
          <w:b/>
          <w:color w:val="auto"/>
          <w:sz w:val="22"/>
          <w:szCs w:val="22"/>
        </w:rPr>
        <w:t>określonych w LSR</w:t>
      </w:r>
    </w:p>
    <w:p w14:paraId="6FEE2545" w14:textId="77777777" w:rsidR="00D673EF" w:rsidRPr="009D4E26" w:rsidRDefault="00D673EF" w:rsidP="009D4E26">
      <w:pPr>
        <w:pStyle w:val="Default"/>
        <w:jc w:val="both"/>
        <w:rPr>
          <w:rFonts w:asciiTheme="minorHAnsi" w:eastAsia="SimSun" w:hAnsiTheme="minorHAnsi" w:cstheme="minorHAnsi"/>
          <w:b/>
          <w:color w:val="auto"/>
          <w:sz w:val="22"/>
          <w:szCs w:val="22"/>
        </w:rPr>
      </w:pPr>
    </w:p>
    <w:p w14:paraId="1E18CBDE" w14:textId="77777777" w:rsidR="00D673EF" w:rsidRPr="009D4E26" w:rsidRDefault="00D673EF" w:rsidP="009D4E26">
      <w:pPr>
        <w:pStyle w:val="Default"/>
        <w:numPr>
          <w:ilvl w:val="2"/>
          <w:numId w:val="5"/>
        </w:numPr>
        <w:tabs>
          <w:tab w:val="clear" w:pos="1364"/>
        </w:tabs>
        <w:ind w:left="709" w:hanging="283"/>
        <w:jc w:val="both"/>
        <w:rPr>
          <w:rFonts w:asciiTheme="minorHAnsi" w:hAnsiTheme="minorHAnsi" w:cstheme="minorHAnsi"/>
          <w:color w:val="auto"/>
          <w:sz w:val="22"/>
          <w:szCs w:val="22"/>
        </w:rPr>
      </w:pPr>
      <w:r w:rsidRPr="009D4E26">
        <w:rPr>
          <w:rFonts w:asciiTheme="minorHAnsi" w:hAnsiTheme="minorHAnsi" w:cstheme="minorHAnsi"/>
          <w:color w:val="auto"/>
          <w:sz w:val="22"/>
          <w:szCs w:val="22"/>
        </w:rPr>
        <w:t>Do przeprowadzenia oceny służą karty oceny wg. kryteriów wyboru projektów, które stanowią</w:t>
      </w:r>
      <w:r w:rsidR="003B0E9E" w:rsidRPr="009D4E26">
        <w:rPr>
          <w:rFonts w:asciiTheme="minorHAnsi" w:hAnsiTheme="minorHAnsi" w:cstheme="minorHAnsi"/>
          <w:color w:val="auto"/>
          <w:sz w:val="22"/>
          <w:szCs w:val="22"/>
        </w:rPr>
        <w:t xml:space="preserve"> załącznik nr 4a, 4b </w:t>
      </w:r>
      <w:r w:rsidRPr="009D4E26">
        <w:rPr>
          <w:rFonts w:asciiTheme="minorHAnsi" w:hAnsiTheme="minorHAnsi" w:cstheme="minorHAnsi"/>
          <w:color w:val="auto"/>
          <w:sz w:val="22"/>
          <w:szCs w:val="22"/>
        </w:rPr>
        <w:t>do procedury.</w:t>
      </w:r>
    </w:p>
    <w:p w14:paraId="3851CA9B" w14:textId="77777777" w:rsidR="00D673EF" w:rsidRPr="009D4E26" w:rsidRDefault="00D673EF" w:rsidP="009D4E26">
      <w:pPr>
        <w:pStyle w:val="Default"/>
        <w:numPr>
          <w:ilvl w:val="2"/>
          <w:numId w:val="5"/>
        </w:numPr>
        <w:tabs>
          <w:tab w:val="clear" w:pos="1364"/>
        </w:tabs>
        <w:ind w:left="709" w:hanging="283"/>
        <w:jc w:val="both"/>
        <w:rPr>
          <w:rFonts w:asciiTheme="minorHAnsi" w:hAnsiTheme="minorHAnsi" w:cstheme="minorHAnsi"/>
          <w:color w:val="auto"/>
          <w:sz w:val="22"/>
          <w:szCs w:val="22"/>
        </w:rPr>
      </w:pPr>
      <w:r w:rsidRPr="009D4E26">
        <w:rPr>
          <w:rFonts w:asciiTheme="minorHAnsi" w:hAnsiTheme="minorHAnsi" w:cstheme="minorHAnsi"/>
          <w:color w:val="auto"/>
          <w:sz w:val="22"/>
          <w:szCs w:val="22"/>
        </w:rPr>
        <w:t>Oceny dokonują wsz</w:t>
      </w:r>
      <w:r w:rsidR="0045609D" w:rsidRPr="009D4E26">
        <w:rPr>
          <w:rFonts w:asciiTheme="minorHAnsi" w:hAnsiTheme="minorHAnsi" w:cstheme="minorHAnsi"/>
          <w:color w:val="auto"/>
          <w:sz w:val="22"/>
          <w:szCs w:val="22"/>
        </w:rPr>
        <w:t>yscy bezstronni członkowie Rady , którzy nie podlegają wyłączeniu ze względu na okoliczności mogące budzić wątpliwość co do ich bezstronności lub ze względu na konieczność zachowania parytetów, o których mowa w rozporządzeniu 1303/2013.</w:t>
      </w:r>
    </w:p>
    <w:p w14:paraId="34D676AC" w14:textId="77777777" w:rsidR="00D673EF" w:rsidRPr="009D4E26" w:rsidRDefault="00D673EF" w:rsidP="009D4E26">
      <w:pPr>
        <w:pStyle w:val="Default"/>
        <w:numPr>
          <w:ilvl w:val="2"/>
          <w:numId w:val="5"/>
        </w:numPr>
        <w:tabs>
          <w:tab w:val="clear" w:pos="1364"/>
        </w:tabs>
        <w:ind w:left="709" w:hanging="283"/>
        <w:jc w:val="both"/>
        <w:rPr>
          <w:rFonts w:asciiTheme="minorHAnsi" w:hAnsiTheme="minorHAnsi" w:cstheme="minorHAnsi"/>
          <w:color w:val="auto"/>
          <w:sz w:val="22"/>
          <w:szCs w:val="22"/>
        </w:rPr>
      </w:pPr>
      <w:r w:rsidRPr="009D4E26">
        <w:rPr>
          <w:rFonts w:asciiTheme="minorHAnsi" w:hAnsiTheme="minorHAnsi" w:cstheme="minorHAnsi"/>
          <w:color w:val="auto"/>
          <w:sz w:val="22"/>
          <w:szCs w:val="22"/>
        </w:rPr>
        <w:t>Ilość punktów przyznanych danej operacji przez członków Rady to średnia wyliczona jako suma punktów przyznanych przez oceniających członków Rady na posiedzeniu podzielona przez ilość członków Rady uprawnionych do głosowania.</w:t>
      </w:r>
    </w:p>
    <w:p w14:paraId="22938093" w14:textId="77777777" w:rsidR="00D673EF" w:rsidRPr="009D4E26" w:rsidRDefault="00D673EF" w:rsidP="009D4E26">
      <w:pPr>
        <w:pStyle w:val="Default"/>
        <w:numPr>
          <w:ilvl w:val="2"/>
          <w:numId w:val="5"/>
        </w:numPr>
        <w:tabs>
          <w:tab w:val="clear" w:pos="1364"/>
        </w:tabs>
        <w:ind w:left="709" w:hanging="283"/>
        <w:jc w:val="both"/>
        <w:rPr>
          <w:rFonts w:asciiTheme="minorHAnsi" w:hAnsiTheme="minorHAnsi" w:cstheme="minorHAnsi"/>
          <w:color w:val="auto"/>
          <w:sz w:val="22"/>
          <w:szCs w:val="22"/>
        </w:rPr>
      </w:pPr>
      <w:r w:rsidRPr="009D4E26">
        <w:rPr>
          <w:rFonts w:asciiTheme="minorHAnsi" w:hAnsiTheme="minorHAnsi" w:cstheme="minorHAnsi"/>
          <w:color w:val="auto"/>
          <w:sz w:val="22"/>
          <w:szCs w:val="22"/>
        </w:rPr>
        <w:t xml:space="preserve"> Liczba punktów podawana jest z dokładnością dwóch miejsc po przecinku, z zachowaniem matematycznych zasad.</w:t>
      </w:r>
    </w:p>
    <w:p w14:paraId="0FB843F3" w14:textId="1DDE8CA4" w:rsidR="00D673EF" w:rsidRPr="009D4E26" w:rsidRDefault="003B0E9E" w:rsidP="009D4E26">
      <w:pPr>
        <w:pStyle w:val="Default"/>
        <w:numPr>
          <w:ilvl w:val="2"/>
          <w:numId w:val="5"/>
        </w:numPr>
        <w:tabs>
          <w:tab w:val="clear" w:pos="1364"/>
        </w:tabs>
        <w:ind w:left="709" w:hanging="284"/>
        <w:jc w:val="both"/>
        <w:rPr>
          <w:rFonts w:asciiTheme="minorHAnsi" w:hAnsiTheme="minorHAnsi" w:cstheme="minorHAnsi"/>
          <w:color w:val="auto"/>
          <w:sz w:val="22"/>
          <w:szCs w:val="22"/>
        </w:rPr>
      </w:pPr>
      <w:r w:rsidRPr="009D4E26">
        <w:rPr>
          <w:rFonts w:asciiTheme="minorHAnsi" w:hAnsiTheme="minorHAnsi" w:cstheme="minorHAnsi"/>
          <w:color w:val="auto"/>
          <w:sz w:val="22"/>
          <w:szCs w:val="22"/>
        </w:rPr>
        <w:t xml:space="preserve">Jeśli </w:t>
      </w:r>
      <w:r w:rsidR="00F96BDC" w:rsidRPr="009D4E26">
        <w:rPr>
          <w:rFonts w:asciiTheme="minorHAnsi" w:hAnsiTheme="minorHAnsi" w:cstheme="minorHAnsi"/>
          <w:color w:val="auto"/>
          <w:sz w:val="22"/>
          <w:szCs w:val="22"/>
        </w:rPr>
        <w:t>grantobiorca</w:t>
      </w:r>
      <w:r w:rsidR="004F348E" w:rsidRPr="009D4E26">
        <w:rPr>
          <w:rFonts w:asciiTheme="minorHAnsi" w:hAnsiTheme="minorHAnsi" w:cstheme="minorHAnsi"/>
          <w:color w:val="auto"/>
          <w:sz w:val="22"/>
          <w:szCs w:val="22"/>
        </w:rPr>
        <w:t xml:space="preserve"> nie zgadza się z ilością przyznanych punków lub wniosek </w:t>
      </w:r>
      <w:r w:rsidR="00D673EF" w:rsidRPr="009D4E26">
        <w:rPr>
          <w:rFonts w:asciiTheme="minorHAnsi" w:hAnsiTheme="minorHAnsi" w:cstheme="minorHAnsi"/>
          <w:color w:val="auto"/>
          <w:sz w:val="22"/>
          <w:szCs w:val="22"/>
        </w:rPr>
        <w:t>nie otrzymał minimalnej liczby punktów lub nie zmieścił się w limicie środków dostępnych w naborze</w:t>
      </w:r>
      <w:r w:rsidR="004F348E" w:rsidRPr="009D4E26">
        <w:rPr>
          <w:rFonts w:asciiTheme="minorHAnsi" w:hAnsiTheme="minorHAnsi" w:cstheme="minorHAnsi"/>
          <w:color w:val="auto"/>
          <w:sz w:val="22"/>
          <w:szCs w:val="22"/>
        </w:rPr>
        <w:t xml:space="preserve">, </w:t>
      </w:r>
      <w:r w:rsidR="00F96BDC" w:rsidRPr="009D4E26">
        <w:rPr>
          <w:rFonts w:asciiTheme="minorHAnsi" w:hAnsiTheme="minorHAnsi" w:cstheme="minorHAnsi"/>
          <w:color w:val="auto"/>
          <w:sz w:val="22"/>
          <w:szCs w:val="22"/>
        </w:rPr>
        <w:t>grantobiorca</w:t>
      </w:r>
      <w:r w:rsidR="004F348E" w:rsidRPr="009D4E26">
        <w:rPr>
          <w:rFonts w:asciiTheme="minorHAnsi" w:hAnsiTheme="minorHAnsi" w:cstheme="minorHAnsi"/>
          <w:color w:val="auto"/>
          <w:sz w:val="22"/>
          <w:szCs w:val="22"/>
        </w:rPr>
        <w:t xml:space="preserve"> </w:t>
      </w:r>
      <w:r w:rsidRPr="009D4E26">
        <w:rPr>
          <w:rFonts w:asciiTheme="minorHAnsi" w:hAnsiTheme="minorHAnsi" w:cstheme="minorHAnsi"/>
          <w:color w:val="auto"/>
          <w:sz w:val="22"/>
          <w:szCs w:val="22"/>
        </w:rPr>
        <w:t xml:space="preserve"> </w:t>
      </w:r>
      <w:r w:rsidR="00D673EF" w:rsidRPr="009D4E26">
        <w:rPr>
          <w:rFonts w:asciiTheme="minorHAnsi" w:hAnsiTheme="minorHAnsi" w:cstheme="minorHAnsi"/>
          <w:color w:val="auto"/>
          <w:sz w:val="22"/>
          <w:szCs w:val="22"/>
        </w:rPr>
        <w:t xml:space="preserve">jest informowany o możliwości złożenia </w:t>
      </w:r>
      <w:r w:rsidRPr="009D4E26">
        <w:rPr>
          <w:rFonts w:asciiTheme="minorHAnsi" w:hAnsiTheme="minorHAnsi" w:cstheme="minorHAnsi"/>
          <w:color w:val="auto"/>
          <w:sz w:val="22"/>
          <w:szCs w:val="22"/>
        </w:rPr>
        <w:t>odwołania</w:t>
      </w:r>
      <w:r w:rsidR="00D673EF" w:rsidRPr="009D4E26">
        <w:rPr>
          <w:rFonts w:asciiTheme="minorHAnsi" w:hAnsiTheme="minorHAnsi" w:cstheme="minorHAnsi"/>
          <w:color w:val="auto"/>
          <w:sz w:val="22"/>
          <w:szCs w:val="22"/>
        </w:rPr>
        <w:t xml:space="preserve">. </w:t>
      </w:r>
    </w:p>
    <w:p w14:paraId="2B136BC3" w14:textId="77777777" w:rsidR="00D673EF" w:rsidRPr="009D4E26" w:rsidRDefault="00D673EF" w:rsidP="009D4E26">
      <w:pPr>
        <w:pStyle w:val="Default"/>
        <w:jc w:val="both"/>
        <w:rPr>
          <w:rFonts w:asciiTheme="minorHAnsi" w:hAnsiTheme="minorHAnsi" w:cstheme="minorHAnsi"/>
          <w:color w:val="auto"/>
          <w:sz w:val="22"/>
          <w:szCs w:val="22"/>
        </w:rPr>
      </w:pPr>
    </w:p>
    <w:p w14:paraId="354B1288" w14:textId="0C3CB5F2" w:rsidR="00D673EF" w:rsidRPr="007D081D" w:rsidRDefault="00A135A7" w:rsidP="009D4E26">
      <w:pPr>
        <w:pStyle w:val="Default"/>
        <w:jc w:val="center"/>
        <w:rPr>
          <w:rFonts w:asciiTheme="minorHAnsi" w:hAnsiTheme="minorHAnsi" w:cstheme="minorHAnsi"/>
          <w:b/>
          <w:bCs/>
          <w:color w:val="auto"/>
          <w:sz w:val="22"/>
          <w:szCs w:val="22"/>
        </w:rPr>
      </w:pPr>
      <w:r w:rsidRPr="007D081D">
        <w:rPr>
          <w:rFonts w:asciiTheme="minorHAnsi" w:hAnsiTheme="minorHAnsi" w:cstheme="minorHAnsi"/>
          <w:b/>
          <w:bCs/>
          <w:color w:val="auto"/>
          <w:sz w:val="22"/>
          <w:szCs w:val="22"/>
        </w:rPr>
        <w:t>§ 6</w:t>
      </w:r>
    </w:p>
    <w:p w14:paraId="1C12B30A" w14:textId="77777777" w:rsidR="00D673EF" w:rsidRPr="009D4E26" w:rsidRDefault="00D673EF" w:rsidP="009D4E26">
      <w:pPr>
        <w:pStyle w:val="Default"/>
        <w:ind w:left="426"/>
        <w:jc w:val="center"/>
        <w:rPr>
          <w:rFonts w:asciiTheme="minorHAnsi" w:hAnsiTheme="minorHAnsi" w:cstheme="minorHAnsi"/>
          <w:bCs/>
          <w:color w:val="auto"/>
          <w:sz w:val="22"/>
          <w:szCs w:val="22"/>
        </w:rPr>
      </w:pPr>
      <w:r w:rsidRPr="009D4E26">
        <w:rPr>
          <w:rFonts w:asciiTheme="minorHAnsi" w:hAnsiTheme="minorHAnsi" w:cstheme="minorHAnsi"/>
          <w:b/>
          <w:bCs/>
          <w:color w:val="auto"/>
          <w:sz w:val="22"/>
          <w:szCs w:val="22"/>
        </w:rPr>
        <w:t>Ustalenie kwoty wsparcia</w:t>
      </w:r>
    </w:p>
    <w:p w14:paraId="146B52FD" w14:textId="77777777" w:rsidR="00D673EF" w:rsidRPr="009D4E26" w:rsidRDefault="00D673EF" w:rsidP="009D4E26">
      <w:pPr>
        <w:pStyle w:val="Default"/>
        <w:jc w:val="both"/>
        <w:rPr>
          <w:rFonts w:asciiTheme="minorHAnsi" w:hAnsiTheme="minorHAnsi" w:cstheme="minorHAnsi"/>
          <w:b/>
          <w:bCs/>
          <w:color w:val="auto"/>
          <w:sz w:val="22"/>
          <w:szCs w:val="22"/>
        </w:rPr>
      </w:pPr>
      <w:r w:rsidRPr="009D4E26">
        <w:rPr>
          <w:rFonts w:asciiTheme="minorHAnsi" w:hAnsiTheme="minorHAnsi" w:cstheme="minorHAnsi"/>
          <w:b/>
          <w:bCs/>
          <w:color w:val="auto"/>
          <w:sz w:val="22"/>
          <w:szCs w:val="22"/>
        </w:rPr>
        <w:t xml:space="preserve"> </w:t>
      </w:r>
    </w:p>
    <w:p w14:paraId="745B6AE8" w14:textId="77777777" w:rsidR="007333E1" w:rsidRPr="009D4E26" w:rsidRDefault="00D673EF" w:rsidP="009D4E26">
      <w:pPr>
        <w:pStyle w:val="Default"/>
        <w:ind w:left="708"/>
        <w:jc w:val="both"/>
        <w:rPr>
          <w:rFonts w:asciiTheme="minorHAnsi" w:hAnsiTheme="minorHAnsi" w:cstheme="minorHAnsi"/>
          <w:bCs/>
          <w:color w:val="auto"/>
          <w:sz w:val="22"/>
          <w:szCs w:val="22"/>
        </w:rPr>
      </w:pPr>
      <w:r w:rsidRPr="009D4E26">
        <w:rPr>
          <w:rFonts w:asciiTheme="minorHAnsi" w:hAnsiTheme="minorHAnsi" w:cstheme="minorHAnsi"/>
          <w:bCs/>
          <w:color w:val="auto"/>
          <w:sz w:val="22"/>
          <w:szCs w:val="22"/>
        </w:rPr>
        <w:t xml:space="preserve">Rada ustala kwotę wsparcia </w:t>
      </w:r>
      <w:r w:rsidR="008A0B8B" w:rsidRPr="009D4E26">
        <w:rPr>
          <w:rFonts w:asciiTheme="minorHAnsi" w:hAnsiTheme="minorHAnsi" w:cstheme="minorHAnsi"/>
          <w:bCs/>
          <w:color w:val="auto"/>
          <w:sz w:val="22"/>
          <w:szCs w:val="22"/>
        </w:rPr>
        <w:t xml:space="preserve">na </w:t>
      </w:r>
      <w:r w:rsidR="004F348E" w:rsidRPr="009D4E26">
        <w:rPr>
          <w:rFonts w:asciiTheme="minorHAnsi" w:hAnsiTheme="minorHAnsi" w:cstheme="minorHAnsi"/>
          <w:b/>
          <w:bCs/>
          <w:color w:val="auto"/>
          <w:sz w:val="22"/>
          <w:szCs w:val="22"/>
        </w:rPr>
        <w:t xml:space="preserve"> </w:t>
      </w:r>
      <w:r w:rsidR="008A0B8B" w:rsidRPr="009D4E26">
        <w:rPr>
          <w:rFonts w:asciiTheme="minorHAnsi" w:hAnsiTheme="minorHAnsi" w:cstheme="minorHAnsi"/>
          <w:bCs/>
          <w:color w:val="auto"/>
          <w:sz w:val="22"/>
          <w:szCs w:val="22"/>
        </w:rPr>
        <w:t>poniesienie</w:t>
      </w:r>
      <w:r w:rsidRPr="009D4E26">
        <w:rPr>
          <w:rFonts w:asciiTheme="minorHAnsi" w:hAnsiTheme="minorHAnsi" w:cstheme="minorHAnsi"/>
          <w:bCs/>
          <w:color w:val="auto"/>
          <w:sz w:val="22"/>
          <w:szCs w:val="22"/>
        </w:rPr>
        <w:t xml:space="preserve"> kosztów kwalifiko</w:t>
      </w:r>
      <w:r w:rsidR="00965DB9" w:rsidRPr="009D4E26">
        <w:rPr>
          <w:rFonts w:asciiTheme="minorHAnsi" w:hAnsiTheme="minorHAnsi" w:cstheme="minorHAnsi"/>
          <w:bCs/>
          <w:color w:val="auto"/>
          <w:sz w:val="22"/>
          <w:szCs w:val="22"/>
        </w:rPr>
        <w:t>walnych poprzez sprawdzenie czy k</w:t>
      </w:r>
      <w:r w:rsidR="00965DB9" w:rsidRPr="009D4E26">
        <w:rPr>
          <w:rFonts w:asciiTheme="minorHAnsi" w:hAnsiTheme="minorHAnsi" w:cstheme="minorHAnsi"/>
          <w:color w:val="auto"/>
          <w:sz w:val="22"/>
          <w:szCs w:val="22"/>
        </w:rPr>
        <w:t xml:space="preserve">oszty kwalifikowalne określone we wniosku są zgodne z zakresem kosztów kwalifikowalnych oraz zasadami dotyczącymi kwalifikowalności kosztów określonymi w § 17 </w:t>
      </w:r>
      <w:r w:rsidR="00444E84" w:rsidRPr="009D4E26">
        <w:rPr>
          <w:rFonts w:asciiTheme="minorHAnsi" w:hAnsiTheme="minorHAnsi" w:cstheme="minorHAnsi"/>
          <w:color w:val="auto"/>
          <w:sz w:val="22"/>
          <w:szCs w:val="22"/>
        </w:rPr>
        <w:t xml:space="preserve">od punktu 1-5, 7 i 9 </w:t>
      </w:r>
      <w:r w:rsidR="00965DB9" w:rsidRPr="009D4E26">
        <w:rPr>
          <w:rFonts w:asciiTheme="minorHAnsi" w:hAnsiTheme="minorHAnsi" w:cstheme="minorHAnsi"/>
          <w:color w:val="auto"/>
          <w:sz w:val="22"/>
          <w:szCs w:val="22"/>
        </w:rPr>
        <w:t>rozporządzeniu LSR</w:t>
      </w:r>
      <w:r w:rsidR="00444E84" w:rsidRPr="009D4E26">
        <w:rPr>
          <w:rFonts w:asciiTheme="minorHAnsi" w:hAnsiTheme="minorHAnsi" w:cstheme="minorHAnsi"/>
          <w:color w:val="auto"/>
          <w:sz w:val="22"/>
          <w:szCs w:val="22"/>
        </w:rPr>
        <w:t>.</w:t>
      </w:r>
      <w:r w:rsidR="007333E1" w:rsidRPr="009D4E26">
        <w:rPr>
          <w:rFonts w:asciiTheme="minorHAnsi" w:hAnsiTheme="minorHAnsi" w:cstheme="minorHAnsi"/>
          <w:bCs/>
          <w:color w:val="auto"/>
          <w:sz w:val="22"/>
          <w:szCs w:val="22"/>
        </w:rPr>
        <w:t xml:space="preserve"> </w:t>
      </w:r>
    </w:p>
    <w:p w14:paraId="72212C8E" w14:textId="00E1CA5C" w:rsidR="00D673EF" w:rsidRPr="009D4E26" w:rsidRDefault="00D673EF" w:rsidP="009D4E26">
      <w:pPr>
        <w:pStyle w:val="Default"/>
        <w:ind w:left="708"/>
        <w:jc w:val="both"/>
        <w:rPr>
          <w:rFonts w:asciiTheme="minorHAnsi" w:hAnsiTheme="minorHAnsi" w:cstheme="minorHAnsi"/>
          <w:color w:val="auto"/>
          <w:sz w:val="22"/>
          <w:szCs w:val="22"/>
        </w:rPr>
      </w:pPr>
      <w:r w:rsidRPr="009D4E26">
        <w:rPr>
          <w:rFonts w:asciiTheme="minorHAnsi" w:hAnsiTheme="minorHAnsi" w:cstheme="minorHAnsi"/>
          <w:color w:val="auto"/>
          <w:sz w:val="22"/>
          <w:szCs w:val="22"/>
        </w:rPr>
        <w:t>W przypadku, gdy kwota pomocy określona we wniosku o przyznanie pomocy przez podmiot ubiegający się o przyznanie pomocy będzie</w:t>
      </w:r>
      <w:r w:rsidR="0060324E" w:rsidRPr="009D4E26">
        <w:rPr>
          <w:rFonts w:asciiTheme="minorHAnsi" w:hAnsiTheme="minorHAnsi" w:cstheme="minorHAnsi"/>
          <w:color w:val="auto"/>
          <w:sz w:val="22"/>
          <w:szCs w:val="22"/>
        </w:rPr>
        <w:t xml:space="preserve"> </w:t>
      </w:r>
      <w:r w:rsidR="00203F37" w:rsidRPr="009D4E26">
        <w:rPr>
          <w:rFonts w:asciiTheme="minorHAnsi" w:hAnsiTheme="minorHAnsi" w:cstheme="minorHAnsi"/>
          <w:color w:val="auto"/>
          <w:sz w:val="22"/>
          <w:szCs w:val="22"/>
        </w:rPr>
        <w:t xml:space="preserve">wyższa niż dostępny limit </w:t>
      </w:r>
      <w:r w:rsidRPr="009D4E26">
        <w:rPr>
          <w:rFonts w:asciiTheme="minorHAnsi" w:hAnsiTheme="minorHAnsi" w:cstheme="minorHAnsi"/>
          <w:color w:val="auto"/>
          <w:sz w:val="22"/>
          <w:szCs w:val="22"/>
        </w:rPr>
        <w:t>dla</w:t>
      </w:r>
      <w:r w:rsidR="00203F37" w:rsidRPr="009D4E26">
        <w:rPr>
          <w:rFonts w:asciiTheme="minorHAnsi" w:hAnsiTheme="minorHAnsi" w:cstheme="minorHAnsi"/>
          <w:color w:val="auto"/>
          <w:sz w:val="22"/>
          <w:szCs w:val="22"/>
        </w:rPr>
        <w:t xml:space="preserve"> danego</w:t>
      </w:r>
      <w:r w:rsidRPr="009D4E26">
        <w:rPr>
          <w:rFonts w:asciiTheme="minorHAnsi" w:hAnsiTheme="minorHAnsi" w:cstheme="minorHAnsi"/>
          <w:color w:val="auto"/>
          <w:sz w:val="22"/>
          <w:szCs w:val="22"/>
        </w:rPr>
        <w:t xml:space="preserve"> beneficjenta </w:t>
      </w:r>
      <w:r w:rsidRPr="009D4E26">
        <w:rPr>
          <w:rFonts w:asciiTheme="minorHAnsi" w:hAnsiTheme="minorHAnsi" w:cstheme="minorHAnsi"/>
          <w:color w:val="auto"/>
          <w:sz w:val="22"/>
          <w:szCs w:val="22"/>
        </w:rPr>
        <w:lastRenderedPageBreak/>
        <w:t>(pozostający do wykorzystania limit na beneficjenta w okresie programowania 2014-2020)</w:t>
      </w:r>
      <w:r w:rsidR="0060324E" w:rsidRPr="009D4E26">
        <w:rPr>
          <w:rFonts w:asciiTheme="minorHAnsi" w:hAnsiTheme="minorHAnsi" w:cstheme="minorHAnsi"/>
          <w:color w:val="auto"/>
          <w:sz w:val="22"/>
          <w:szCs w:val="22"/>
        </w:rPr>
        <w:t xml:space="preserve"> lub </w:t>
      </w:r>
      <w:r w:rsidR="00203F37" w:rsidRPr="009D4E26">
        <w:rPr>
          <w:rFonts w:asciiTheme="minorHAnsi" w:hAnsiTheme="minorHAnsi" w:cstheme="minorHAnsi"/>
          <w:color w:val="auto"/>
          <w:sz w:val="22"/>
          <w:szCs w:val="22"/>
        </w:rPr>
        <w:t>niższa w wyniku badania racjonalności kosztów</w:t>
      </w:r>
      <w:r w:rsidR="0060324E" w:rsidRPr="009D4E26">
        <w:rPr>
          <w:rFonts w:asciiTheme="minorHAnsi" w:hAnsiTheme="minorHAnsi" w:cstheme="minorHAnsi"/>
          <w:color w:val="auto"/>
          <w:sz w:val="22"/>
          <w:szCs w:val="22"/>
        </w:rPr>
        <w:t xml:space="preserve"> przez Radę</w:t>
      </w:r>
      <w:r w:rsidR="00325C6F" w:rsidRPr="009D4E26">
        <w:rPr>
          <w:rFonts w:asciiTheme="minorHAnsi" w:hAnsiTheme="minorHAnsi" w:cstheme="minorHAnsi"/>
          <w:color w:val="auto"/>
          <w:sz w:val="22"/>
          <w:szCs w:val="22"/>
        </w:rPr>
        <w:t>, R</w:t>
      </w:r>
      <w:r w:rsidR="008A0B8B" w:rsidRPr="009D4E26">
        <w:rPr>
          <w:rFonts w:asciiTheme="minorHAnsi" w:hAnsiTheme="minorHAnsi" w:cstheme="minorHAnsi"/>
          <w:color w:val="auto"/>
          <w:sz w:val="22"/>
          <w:szCs w:val="22"/>
        </w:rPr>
        <w:t>ada</w:t>
      </w:r>
      <w:r w:rsidRPr="009D4E26">
        <w:rPr>
          <w:rFonts w:asciiTheme="minorHAnsi" w:hAnsiTheme="minorHAnsi" w:cstheme="minorHAnsi"/>
          <w:color w:val="auto"/>
          <w:sz w:val="22"/>
          <w:szCs w:val="22"/>
        </w:rPr>
        <w:t xml:space="preserve"> dokonuje ustalenia kwoty wsparcia przez odpowiednie zmniejszenie kwoty pomocy.</w:t>
      </w:r>
      <w:r w:rsidR="0060324E" w:rsidRPr="009D4E26">
        <w:rPr>
          <w:rFonts w:asciiTheme="minorHAnsi" w:hAnsiTheme="minorHAnsi" w:cstheme="minorHAnsi"/>
          <w:color w:val="auto"/>
          <w:sz w:val="22"/>
          <w:szCs w:val="22"/>
        </w:rPr>
        <w:t xml:space="preserve"> </w:t>
      </w:r>
      <w:r w:rsidR="00F96BDC" w:rsidRPr="009D4E26">
        <w:rPr>
          <w:rFonts w:asciiTheme="minorHAnsi" w:hAnsiTheme="minorHAnsi" w:cstheme="minorHAnsi"/>
          <w:color w:val="auto"/>
          <w:sz w:val="22"/>
          <w:szCs w:val="22"/>
        </w:rPr>
        <w:t>Grantobiorca</w:t>
      </w:r>
      <w:r w:rsidRPr="009D4E26">
        <w:rPr>
          <w:rFonts w:asciiTheme="minorHAnsi" w:hAnsiTheme="minorHAnsi" w:cstheme="minorHAnsi"/>
          <w:color w:val="auto"/>
          <w:sz w:val="22"/>
          <w:szCs w:val="22"/>
        </w:rPr>
        <w:t xml:space="preserve"> informowany jest o przyczynach zmniejszenia</w:t>
      </w:r>
      <w:r w:rsidR="0060324E" w:rsidRPr="009D4E26">
        <w:rPr>
          <w:rFonts w:asciiTheme="minorHAnsi" w:hAnsiTheme="minorHAnsi" w:cstheme="minorHAnsi"/>
          <w:color w:val="auto"/>
          <w:sz w:val="22"/>
          <w:szCs w:val="22"/>
        </w:rPr>
        <w:t xml:space="preserve">. Jeśli </w:t>
      </w:r>
      <w:r w:rsidR="00F96BDC" w:rsidRPr="009D4E26">
        <w:rPr>
          <w:rFonts w:asciiTheme="minorHAnsi" w:hAnsiTheme="minorHAnsi" w:cstheme="minorHAnsi"/>
          <w:color w:val="auto"/>
          <w:sz w:val="22"/>
          <w:szCs w:val="22"/>
        </w:rPr>
        <w:t>grantobiorca</w:t>
      </w:r>
      <w:r w:rsidR="0060324E" w:rsidRPr="009D4E26">
        <w:rPr>
          <w:rFonts w:asciiTheme="minorHAnsi" w:hAnsiTheme="minorHAnsi" w:cstheme="minorHAnsi"/>
          <w:color w:val="auto"/>
          <w:sz w:val="22"/>
          <w:szCs w:val="22"/>
        </w:rPr>
        <w:t xml:space="preserve"> wyraża zgodę na proponowane zmiany zobligowany jest złożyć korektę wniosku.</w:t>
      </w:r>
    </w:p>
    <w:p w14:paraId="7A5A3202" w14:textId="64648BD8" w:rsidR="00CC49AC" w:rsidRPr="009D4E26" w:rsidRDefault="004E01F8" w:rsidP="009D4E26">
      <w:pPr>
        <w:pStyle w:val="Default"/>
        <w:ind w:left="709"/>
        <w:jc w:val="both"/>
        <w:rPr>
          <w:rFonts w:asciiTheme="minorHAnsi" w:hAnsiTheme="minorHAnsi" w:cstheme="minorHAnsi"/>
          <w:color w:val="auto"/>
          <w:sz w:val="22"/>
          <w:szCs w:val="22"/>
        </w:rPr>
      </w:pPr>
      <w:r w:rsidRPr="009D4E26">
        <w:rPr>
          <w:rFonts w:asciiTheme="minorHAnsi" w:hAnsiTheme="minorHAnsi" w:cstheme="minorHAnsi"/>
          <w:color w:val="auto"/>
          <w:sz w:val="22"/>
          <w:szCs w:val="22"/>
        </w:rPr>
        <w:t>W przypadku gdy wnioskowana kwota pomocy powoduje, że zadanie nie mieści się w limicie środków wskazanych w ogłoszeniu Rada może obniżyć kwotę wsparcia do poziomu powodującego, że dana operacja zmieści się w tym limicie. Dokonanie takiego obniżenia jest uprawnieniem, a nie obowiązkiem Rady (tzn. Rada może uznać, że w przypadku danego wniosku lub naboru nie zastosuje tego rodzaju rozwiązania). Grantobiorca informowany jest o przyczynach zmniejszenia. Jeśli grantobiorca wyraża zgodę na proponowane zmiany zobligowany jest złożyć korektę wniosku.</w:t>
      </w:r>
    </w:p>
    <w:p w14:paraId="5A8D424C" w14:textId="101CB58C" w:rsidR="00DF79B4" w:rsidRPr="007D081D" w:rsidRDefault="00294753" w:rsidP="009D4E26">
      <w:pPr>
        <w:pStyle w:val="Default"/>
        <w:jc w:val="center"/>
        <w:rPr>
          <w:rFonts w:asciiTheme="minorHAnsi" w:hAnsiTheme="minorHAnsi" w:cstheme="minorHAnsi"/>
          <w:b/>
          <w:bCs/>
          <w:color w:val="auto"/>
          <w:sz w:val="22"/>
          <w:szCs w:val="22"/>
        </w:rPr>
      </w:pPr>
      <w:r w:rsidRPr="007D081D">
        <w:rPr>
          <w:rFonts w:asciiTheme="minorHAnsi" w:hAnsiTheme="minorHAnsi" w:cstheme="minorHAnsi"/>
          <w:b/>
          <w:bCs/>
          <w:color w:val="auto"/>
          <w:sz w:val="22"/>
          <w:szCs w:val="22"/>
        </w:rPr>
        <w:t>§ 7</w:t>
      </w:r>
    </w:p>
    <w:p w14:paraId="78354994" w14:textId="77777777" w:rsidR="00DF79B4" w:rsidRPr="009D4E26" w:rsidRDefault="00DF79B4" w:rsidP="009D4E26">
      <w:pPr>
        <w:pStyle w:val="Default"/>
        <w:jc w:val="center"/>
        <w:rPr>
          <w:rFonts w:asciiTheme="minorHAnsi" w:hAnsiTheme="minorHAnsi" w:cstheme="minorHAnsi"/>
          <w:b/>
          <w:bCs/>
          <w:color w:val="auto"/>
          <w:sz w:val="22"/>
          <w:szCs w:val="22"/>
        </w:rPr>
      </w:pPr>
      <w:r w:rsidRPr="009D4E26">
        <w:rPr>
          <w:rFonts w:asciiTheme="minorHAnsi" w:hAnsiTheme="minorHAnsi" w:cstheme="minorHAnsi"/>
          <w:b/>
          <w:bCs/>
          <w:color w:val="auto"/>
          <w:sz w:val="22"/>
          <w:szCs w:val="22"/>
        </w:rPr>
        <w:t>Wybór operacji i tworzenie listy rankingowej</w:t>
      </w:r>
    </w:p>
    <w:p w14:paraId="2F54A927" w14:textId="77777777" w:rsidR="00DF79B4" w:rsidRPr="009D4E26" w:rsidRDefault="00DF79B4" w:rsidP="009D4E26">
      <w:pPr>
        <w:pStyle w:val="Default"/>
        <w:jc w:val="both"/>
        <w:rPr>
          <w:rFonts w:asciiTheme="minorHAnsi" w:hAnsiTheme="minorHAnsi" w:cstheme="minorHAnsi"/>
          <w:b/>
          <w:bCs/>
          <w:color w:val="auto"/>
          <w:sz w:val="22"/>
          <w:szCs w:val="22"/>
          <w:highlight w:val="lightGray"/>
        </w:rPr>
      </w:pPr>
    </w:p>
    <w:p w14:paraId="5DEA16B5" w14:textId="77777777" w:rsidR="00DF79B4" w:rsidRPr="009D4E26" w:rsidRDefault="00DF79B4" w:rsidP="009D4E26">
      <w:pPr>
        <w:pStyle w:val="Default"/>
        <w:numPr>
          <w:ilvl w:val="3"/>
          <w:numId w:val="5"/>
        </w:numPr>
        <w:tabs>
          <w:tab w:val="clear" w:pos="1724"/>
        </w:tabs>
        <w:ind w:left="567" w:hanging="283"/>
        <w:jc w:val="both"/>
        <w:rPr>
          <w:rFonts w:asciiTheme="minorHAnsi" w:hAnsiTheme="minorHAnsi" w:cstheme="minorHAnsi"/>
          <w:color w:val="auto"/>
          <w:sz w:val="22"/>
          <w:szCs w:val="22"/>
        </w:rPr>
      </w:pPr>
      <w:r w:rsidRPr="009D4E26">
        <w:rPr>
          <w:rFonts w:asciiTheme="minorHAnsi" w:hAnsiTheme="minorHAnsi" w:cstheme="minorHAnsi"/>
          <w:color w:val="auto"/>
          <w:sz w:val="22"/>
          <w:szCs w:val="22"/>
        </w:rPr>
        <w:t>Po ocenie wniosków i ustaleniu kwoty wsparcia Rada bazując na wygenerowanej z aplikacji poglądowej liście zatwierdza swój wybór poprzez głosowanie nad pojedynczymi Uchwałami dotyczącymi poszczególnych operacji.</w:t>
      </w:r>
    </w:p>
    <w:p w14:paraId="7875F9EA" w14:textId="77777777" w:rsidR="00DF79B4" w:rsidRPr="009D4E26" w:rsidRDefault="00DF79B4" w:rsidP="009D4E26">
      <w:pPr>
        <w:pStyle w:val="Default"/>
        <w:numPr>
          <w:ilvl w:val="3"/>
          <w:numId w:val="5"/>
        </w:numPr>
        <w:tabs>
          <w:tab w:val="clear" w:pos="1724"/>
        </w:tabs>
        <w:ind w:left="567" w:hanging="283"/>
        <w:jc w:val="both"/>
        <w:rPr>
          <w:rFonts w:asciiTheme="minorHAnsi" w:hAnsiTheme="minorHAnsi" w:cstheme="minorHAnsi"/>
          <w:color w:val="auto"/>
          <w:sz w:val="22"/>
          <w:szCs w:val="22"/>
        </w:rPr>
      </w:pPr>
      <w:r w:rsidRPr="009D4E26">
        <w:rPr>
          <w:rFonts w:asciiTheme="minorHAnsi" w:hAnsiTheme="minorHAnsi" w:cstheme="minorHAnsi"/>
          <w:color w:val="auto"/>
          <w:sz w:val="22"/>
          <w:szCs w:val="22"/>
        </w:rPr>
        <w:t xml:space="preserve">W przypadku jeśli dwa lub więcej Wniosków zostanie ocenionych tak samo w każdym z poszczególnych kryteriów, o kolejności Wniosków na liście rekomendowanych do udzielenia wsparcia będzie decydowała data (kolejność) złożenia w LGD Wniosku – wsparcie otrzyma Wniosek złożony wcześniej. </w:t>
      </w:r>
    </w:p>
    <w:p w14:paraId="61016FE1" w14:textId="77777777" w:rsidR="00DF79B4" w:rsidRPr="009D4E26" w:rsidRDefault="00DF79B4" w:rsidP="009D4E26">
      <w:pPr>
        <w:pStyle w:val="Default"/>
        <w:numPr>
          <w:ilvl w:val="3"/>
          <w:numId w:val="5"/>
        </w:numPr>
        <w:tabs>
          <w:tab w:val="clear" w:pos="1724"/>
        </w:tabs>
        <w:ind w:left="567" w:hanging="283"/>
        <w:jc w:val="both"/>
        <w:rPr>
          <w:rFonts w:asciiTheme="minorHAnsi" w:hAnsiTheme="minorHAnsi" w:cstheme="minorHAnsi"/>
          <w:color w:val="auto"/>
          <w:sz w:val="22"/>
          <w:szCs w:val="22"/>
        </w:rPr>
      </w:pPr>
      <w:r w:rsidRPr="009D4E26">
        <w:rPr>
          <w:rFonts w:asciiTheme="minorHAnsi" w:hAnsiTheme="minorHAnsi" w:cstheme="minorHAnsi"/>
          <w:color w:val="auto"/>
          <w:sz w:val="22"/>
          <w:szCs w:val="22"/>
        </w:rPr>
        <w:t>Z głosowania wyłączają się członkowie Rady, którzy nie byli bezstronni w odniesieniu do poszczególnych operacji.</w:t>
      </w:r>
    </w:p>
    <w:p w14:paraId="0F2DFDE8" w14:textId="0326D181" w:rsidR="007E68C3" w:rsidRPr="00DB1992" w:rsidRDefault="007B7901" w:rsidP="009D4E26">
      <w:pPr>
        <w:pStyle w:val="Default"/>
        <w:numPr>
          <w:ilvl w:val="3"/>
          <w:numId w:val="5"/>
        </w:numPr>
        <w:tabs>
          <w:tab w:val="clear" w:pos="1724"/>
        </w:tabs>
        <w:ind w:left="567" w:hanging="283"/>
        <w:jc w:val="both"/>
        <w:rPr>
          <w:rFonts w:asciiTheme="minorHAnsi" w:hAnsiTheme="minorHAnsi" w:cstheme="minorHAnsi"/>
          <w:color w:val="auto"/>
          <w:sz w:val="22"/>
          <w:szCs w:val="22"/>
        </w:rPr>
      </w:pPr>
      <w:r w:rsidRPr="009D4E26">
        <w:rPr>
          <w:rFonts w:asciiTheme="minorHAnsi" w:hAnsiTheme="minorHAnsi" w:cstheme="minorHAnsi"/>
          <w:color w:val="auto"/>
          <w:sz w:val="22"/>
          <w:szCs w:val="22"/>
        </w:rPr>
        <w:t>Przed każdym gł</w:t>
      </w:r>
      <w:r w:rsidR="00DF79B4" w:rsidRPr="009D4E26">
        <w:rPr>
          <w:rFonts w:asciiTheme="minorHAnsi" w:hAnsiTheme="minorHAnsi" w:cstheme="minorHAnsi"/>
          <w:color w:val="auto"/>
          <w:sz w:val="22"/>
          <w:szCs w:val="22"/>
        </w:rPr>
        <w:t>osowaniem przewodniczący sprawdz</w:t>
      </w:r>
      <w:r w:rsidR="00DB1992">
        <w:rPr>
          <w:rFonts w:asciiTheme="minorHAnsi" w:hAnsiTheme="minorHAnsi" w:cstheme="minorHAnsi"/>
          <w:color w:val="auto"/>
          <w:sz w:val="22"/>
          <w:szCs w:val="22"/>
        </w:rPr>
        <w:t xml:space="preserve">a liczbę osób uprawnionych do </w:t>
      </w:r>
      <w:r w:rsidR="00DB1992" w:rsidRPr="00DB1992">
        <w:rPr>
          <w:rFonts w:asciiTheme="minorHAnsi" w:hAnsiTheme="minorHAnsi" w:cstheme="minorHAnsi"/>
          <w:color w:val="auto"/>
          <w:sz w:val="22"/>
          <w:szCs w:val="22"/>
        </w:rPr>
        <w:t>gł</w:t>
      </w:r>
      <w:r w:rsidR="00DF79B4" w:rsidRPr="00DB1992">
        <w:rPr>
          <w:rFonts w:asciiTheme="minorHAnsi" w:hAnsiTheme="minorHAnsi" w:cstheme="minorHAnsi"/>
          <w:color w:val="auto"/>
          <w:sz w:val="22"/>
          <w:szCs w:val="22"/>
        </w:rPr>
        <w:t xml:space="preserve">osowania </w:t>
      </w:r>
      <w:r w:rsidR="00E94DF0" w:rsidRPr="00DB1992">
        <w:rPr>
          <w:rFonts w:asciiTheme="minorHAnsi" w:hAnsiTheme="minorHAnsi" w:cstheme="minorHAnsi"/>
          <w:color w:val="auto"/>
          <w:sz w:val="22"/>
          <w:szCs w:val="22"/>
        </w:rPr>
        <w:t>i parytety</w:t>
      </w:r>
      <w:r w:rsidRPr="00DB1992">
        <w:rPr>
          <w:rFonts w:asciiTheme="minorHAnsi" w:hAnsiTheme="minorHAnsi" w:cstheme="minorHAnsi"/>
          <w:color w:val="auto"/>
          <w:sz w:val="22"/>
          <w:szCs w:val="22"/>
        </w:rPr>
        <w:t>.</w:t>
      </w:r>
    </w:p>
    <w:p w14:paraId="632FD9FC" w14:textId="77777777" w:rsidR="007E68C3" w:rsidRPr="009D4E26" w:rsidRDefault="007E68C3" w:rsidP="009D4E26">
      <w:pPr>
        <w:pStyle w:val="Default"/>
        <w:numPr>
          <w:ilvl w:val="3"/>
          <w:numId w:val="25"/>
        </w:numPr>
        <w:tabs>
          <w:tab w:val="clear" w:pos="1724"/>
        </w:tabs>
        <w:ind w:left="709" w:hanging="425"/>
        <w:rPr>
          <w:rFonts w:asciiTheme="minorHAnsi" w:hAnsiTheme="minorHAnsi" w:cstheme="minorHAnsi"/>
          <w:color w:val="auto"/>
          <w:sz w:val="22"/>
          <w:szCs w:val="22"/>
        </w:rPr>
      </w:pPr>
      <w:r w:rsidRPr="009D4E26">
        <w:rPr>
          <w:rFonts w:asciiTheme="minorHAnsi" w:hAnsiTheme="minorHAnsi" w:cstheme="minorHAnsi"/>
          <w:color w:val="auto"/>
          <w:sz w:val="22"/>
          <w:szCs w:val="22"/>
        </w:rPr>
        <w:t>Po podjęciu uchwał, o których mowa w pkt. 1 Rada tworzy listę operacji wybranych do realizacji (listę rankingową). Lista zawiera operacje wybrane do realizacji, wraz ze wskazaniem, które z tych operacji mieszczą się w limicie środków wskazanym w ogłoszeniu o naborze.</w:t>
      </w:r>
    </w:p>
    <w:p w14:paraId="3DCA900F" w14:textId="77777777" w:rsidR="007E68C3" w:rsidRPr="009D4E26" w:rsidRDefault="007E68C3" w:rsidP="009D4E26">
      <w:pPr>
        <w:pStyle w:val="Default"/>
        <w:numPr>
          <w:ilvl w:val="3"/>
          <w:numId w:val="25"/>
        </w:numPr>
        <w:tabs>
          <w:tab w:val="clear" w:pos="1724"/>
        </w:tabs>
        <w:ind w:left="709" w:hanging="425"/>
        <w:rPr>
          <w:rFonts w:asciiTheme="minorHAnsi" w:hAnsiTheme="minorHAnsi" w:cstheme="minorHAnsi"/>
          <w:color w:val="auto"/>
          <w:sz w:val="22"/>
          <w:szCs w:val="22"/>
        </w:rPr>
      </w:pPr>
      <w:r w:rsidRPr="009D4E26">
        <w:rPr>
          <w:rFonts w:asciiTheme="minorHAnsi" w:hAnsiTheme="minorHAnsi" w:cstheme="minorHAnsi"/>
          <w:color w:val="auto"/>
          <w:sz w:val="22"/>
          <w:szCs w:val="22"/>
        </w:rPr>
        <w:t>Rada podejmuje uchwałę dotyczącą zatwierdzenia listy, o której mowa w ust.5</w:t>
      </w:r>
    </w:p>
    <w:p w14:paraId="1F055E6D" w14:textId="14ABDB0E" w:rsidR="00E8620D" w:rsidRPr="009D4E26" w:rsidRDefault="00F96BDC" w:rsidP="009D4E26">
      <w:pPr>
        <w:pStyle w:val="Default"/>
        <w:numPr>
          <w:ilvl w:val="3"/>
          <w:numId w:val="26"/>
        </w:numPr>
        <w:tabs>
          <w:tab w:val="clear" w:pos="1724"/>
        </w:tabs>
        <w:ind w:left="709" w:hanging="425"/>
        <w:rPr>
          <w:rFonts w:asciiTheme="minorHAnsi" w:hAnsiTheme="minorHAnsi" w:cstheme="minorHAnsi"/>
          <w:color w:val="auto"/>
          <w:sz w:val="22"/>
          <w:szCs w:val="22"/>
        </w:rPr>
      </w:pPr>
      <w:r w:rsidRPr="009D4E26">
        <w:rPr>
          <w:rFonts w:asciiTheme="minorHAnsi" w:hAnsiTheme="minorHAnsi" w:cstheme="minorHAnsi"/>
          <w:color w:val="auto"/>
          <w:sz w:val="22"/>
          <w:szCs w:val="22"/>
        </w:rPr>
        <w:t>Grantobiorca</w:t>
      </w:r>
      <w:r w:rsidR="009C100D" w:rsidRPr="009D4E26">
        <w:rPr>
          <w:rFonts w:asciiTheme="minorHAnsi" w:hAnsiTheme="minorHAnsi" w:cstheme="minorHAnsi"/>
          <w:color w:val="auto"/>
          <w:sz w:val="22"/>
          <w:szCs w:val="22"/>
        </w:rPr>
        <w:t>,</w:t>
      </w:r>
      <w:r w:rsidR="00DF79B4" w:rsidRPr="009D4E26">
        <w:rPr>
          <w:rFonts w:asciiTheme="minorHAnsi" w:hAnsiTheme="minorHAnsi" w:cstheme="minorHAnsi"/>
          <w:color w:val="auto"/>
          <w:sz w:val="22"/>
          <w:szCs w:val="22"/>
        </w:rPr>
        <w:t xml:space="preserve"> jest informowany </w:t>
      </w:r>
      <w:r w:rsidR="009C100D" w:rsidRPr="009D4E26">
        <w:rPr>
          <w:rFonts w:asciiTheme="minorHAnsi" w:hAnsiTheme="minorHAnsi" w:cstheme="minorHAnsi"/>
          <w:color w:val="auto"/>
          <w:sz w:val="22"/>
          <w:szCs w:val="22"/>
          <w:u w:val="single"/>
        </w:rPr>
        <w:t>mailowo</w:t>
      </w:r>
      <w:r w:rsidR="009C100D" w:rsidRPr="009D4E26">
        <w:rPr>
          <w:rFonts w:asciiTheme="minorHAnsi" w:hAnsiTheme="minorHAnsi" w:cstheme="minorHAnsi"/>
          <w:color w:val="auto"/>
          <w:sz w:val="22"/>
          <w:szCs w:val="22"/>
        </w:rPr>
        <w:t xml:space="preserve"> </w:t>
      </w:r>
      <w:r w:rsidR="00DF79B4" w:rsidRPr="009D4E26">
        <w:rPr>
          <w:rFonts w:asciiTheme="minorHAnsi" w:hAnsiTheme="minorHAnsi" w:cstheme="minorHAnsi"/>
          <w:color w:val="auto"/>
          <w:sz w:val="22"/>
          <w:szCs w:val="22"/>
        </w:rPr>
        <w:t>w terminie 7 dni od dnia zakończenia wyboru operacji</w:t>
      </w:r>
      <w:r w:rsidR="00CD7516" w:rsidRPr="009D4E26">
        <w:rPr>
          <w:rFonts w:asciiTheme="minorHAnsi" w:hAnsiTheme="minorHAnsi" w:cstheme="minorHAnsi"/>
          <w:color w:val="auto"/>
          <w:sz w:val="22"/>
          <w:szCs w:val="22"/>
        </w:rPr>
        <w:t xml:space="preserve">. LGD wysyła </w:t>
      </w:r>
      <w:r w:rsidR="00CD7516" w:rsidRPr="009D4E26">
        <w:rPr>
          <w:rFonts w:asciiTheme="minorHAnsi" w:hAnsiTheme="minorHAnsi" w:cstheme="minorHAnsi"/>
          <w:color w:val="auto"/>
          <w:sz w:val="22"/>
          <w:szCs w:val="22"/>
          <w:u w:val="single"/>
        </w:rPr>
        <w:t>mailowo pismo</w:t>
      </w:r>
      <w:r w:rsidR="00CD7516" w:rsidRPr="009D4E26">
        <w:rPr>
          <w:rFonts w:asciiTheme="minorHAnsi" w:hAnsiTheme="minorHAnsi" w:cstheme="minorHAnsi"/>
          <w:color w:val="auto"/>
          <w:sz w:val="22"/>
          <w:szCs w:val="22"/>
        </w:rPr>
        <w:t xml:space="preserve">, </w:t>
      </w:r>
      <w:r w:rsidR="00E8620D" w:rsidRPr="009D4E26">
        <w:rPr>
          <w:rFonts w:asciiTheme="minorHAnsi" w:hAnsiTheme="minorHAnsi" w:cstheme="minorHAnsi"/>
          <w:color w:val="auto"/>
          <w:sz w:val="22"/>
          <w:szCs w:val="22"/>
        </w:rPr>
        <w:t xml:space="preserve">o decyzji Rady w sprawie </w:t>
      </w:r>
      <w:r w:rsidR="00DF79B4" w:rsidRPr="009D4E26">
        <w:rPr>
          <w:rFonts w:asciiTheme="minorHAnsi" w:hAnsiTheme="minorHAnsi" w:cstheme="minorHAnsi"/>
          <w:color w:val="auto"/>
          <w:sz w:val="22"/>
          <w:szCs w:val="22"/>
        </w:rPr>
        <w:t>wynikach oceny złożonego Wniosku</w:t>
      </w:r>
      <w:r w:rsidR="00E8620D" w:rsidRPr="009D4E26">
        <w:rPr>
          <w:rFonts w:asciiTheme="minorHAnsi" w:hAnsiTheme="minorHAnsi" w:cstheme="minorHAnsi"/>
          <w:color w:val="auto"/>
          <w:sz w:val="22"/>
          <w:szCs w:val="22"/>
        </w:rPr>
        <w:t>. Dodatkowo pismo będzie zawierało pouczenie o możliwości złożenia odwołania.</w:t>
      </w:r>
    </w:p>
    <w:p w14:paraId="2C04404F" w14:textId="77777777" w:rsidR="00494452" w:rsidRPr="009D4E26" w:rsidRDefault="00494452" w:rsidP="009D4E26">
      <w:pPr>
        <w:pStyle w:val="Akapitzlist"/>
        <w:spacing w:after="0" w:line="240" w:lineRule="auto"/>
        <w:ind w:left="644"/>
        <w:jc w:val="center"/>
        <w:rPr>
          <w:rFonts w:cstheme="minorHAnsi"/>
          <w:b/>
        </w:rPr>
      </w:pPr>
    </w:p>
    <w:p w14:paraId="3A23DFD4" w14:textId="456896B3" w:rsidR="00D673EF" w:rsidRPr="007D081D" w:rsidRDefault="00294753" w:rsidP="007D081D">
      <w:pPr>
        <w:pStyle w:val="Akapitzlist"/>
        <w:spacing w:after="0" w:line="240" w:lineRule="auto"/>
        <w:ind w:left="644"/>
        <w:jc w:val="center"/>
        <w:rPr>
          <w:rFonts w:cstheme="minorHAnsi"/>
          <w:b/>
        </w:rPr>
      </w:pPr>
      <w:r w:rsidRPr="007D081D">
        <w:rPr>
          <w:rFonts w:cstheme="minorHAnsi"/>
          <w:b/>
        </w:rPr>
        <w:t>§8</w:t>
      </w:r>
      <w:r w:rsidR="007D081D" w:rsidRPr="007D081D">
        <w:rPr>
          <w:rFonts w:cstheme="minorHAnsi"/>
        </w:rPr>
        <w:t xml:space="preserve">     </w:t>
      </w:r>
    </w:p>
    <w:p w14:paraId="0D4EACA6" w14:textId="77777777" w:rsidR="00122284" w:rsidRPr="007D081D" w:rsidRDefault="00472B2B" w:rsidP="009D4E26">
      <w:pPr>
        <w:ind w:left="360"/>
        <w:jc w:val="center"/>
        <w:rPr>
          <w:rFonts w:asciiTheme="minorHAnsi" w:eastAsiaTheme="minorHAnsi" w:hAnsiTheme="minorHAnsi" w:cstheme="minorHAnsi"/>
          <w:b/>
          <w:sz w:val="22"/>
          <w:szCs w:val="22"/>
        </w:rPr>
      </w:pPr>
      <w:r w:rsidRPr="007D081D">
        <w:rPr>
          <w:rFonts w:asciiTheme="minorHAnsi" w:eastAsiaTheme="minorHAnsi" w:hAnsiTheme="minorHAnsi" w:cstheme="minorHAnsi"/>
          <w:b/>
          <w:sz w:val="22"/>
          <w:szCs w:val="22"/>
        </w:rPr>
        <w:t>Procedura odwoławcza</w:t>
      </w:r>
    </w:p>
    <w:p w14:paraId="1E420D9C" w14:textId="77777777" w:rsidR="00122284" w:rsidRPr="009D4E26" w:rsidRDefault="00122284" w:rsidP="009D4E26">
      <w:pPr>
        <w:contextualSpacing/>
        <w:rPr>
          <w:rFonts w:asciiTheme="minorHAnsi" w:eastAsiaTheme="minorHAnsi" w:hAnsiTheme="minorHAnsi" w:cstheme="minorHAnsi"/>
          <w:b/>
          <w:sz w:val="22"/>
          <w:szCs w:val="22"/>
          <w:lang w:eastAsia="en-US"/>
        </w:rPr>
      </w:pPr>
    </w:p>
    <w:p w14:paraId="6710E114" w14:textId="3DFFE6DF" w:rsidR="00EA7E9C" w:rsidRPr="009D4E26" w:rsidRDefault="00827AF4" w:rsidP="009D4E26">
      <w:pPr>
        <w:pStyle w:val="Akapitzlist"/>
        <w:numPr>
          <w:ilvl w:val="0"/>
          <w:numId w:val="1"/>
        </w:numPr>
        <w:spacing w:after="0" w:line="240" w:lineRule="auto"/>
        <w:rPr>
          <w:rFonts w:cs="Calibri"/>
        </w:rPr>
      </w:pPr>
      <w:r w:rsidRPr="009D4E26">
        <w:rPr>
          <w:rFonts w:cs="Calibri"/>
        </w:rPr>
        <w:t>Grantobiorcy</w:t>
      </w:r>
      <w:r w:rsidR="00EA7E9C" w:rsidRPr="009D4E26">
        <w:rPr>
          <w:rFonts w:cs="Calibri"/>
        </w:rPr>
        <w:t xml:space="preserve">  przysługuje prawo wniesienia odwołania od ilości przyznanych punktów</w:t>
      </w:r>
      <w:r w:rsidR="00C564AA" w:rsidRPr="009D4E26">
        <w:rPr>
          <w:rFonts w:cs="Calibri"/>
        </w:rPr>
        <w:t xml:space="preserve"> zgodnie z lokalnymi kryteriami wyboru</w:t>
      </w:r>
      <w:r w:rsidR="00EA7E9C" w:rsidRPr="009D4E26">
        <w:rPr>
          <w:rFonts w:cs="Calibri"/>
        </w:rPr>
        <w:t xml:space="preserve"> w tym nieuzyskania przez operację minimalnej liczby punktów.</w:t>
      </w:r>
    </w:p>
    <w:p w14:paraId="0D979A14" w14:textId="64A21F19" w:rsidR="00087BAE" w:rsidRPr="009D4E26" w:rsidRDefault="00EA7E9C" w:rsidP="009D4E26">
      <w:pPr>
        <w:pStyle w:val="Akapitzlist"/>
        <w:numPr>
          <w:ilvl w:val="0"/>
          <w:numId w:val="1"/>
        </w:numPr>
        <w:spacing w:after="0" w:line="240" w:lineRule="auto"/>
        <w:rPr>
          <w:rFonts w:cstheme="minorHAnsi"/>
          <w:b/>
        </w:rPr>
      </w:pPr>
      <w:r w:rsidRPr="009D4E26">
        <w:rPr>
          <w:rFonts w:cstheme="minorHAnsi"/>
        </w:rPr>
        <w:t xml:space="preserve">Odwołanie wnosi się w terminie od 3 do 5 dni. Data złożenia odwołania będzie wskazana w piśmie wysłanym mailowo do </w:t>
      </w:r>
      <w:r w:rsidR="00827AF4" w:rsidRPr="009D4E26">
        <w:rPr>
          <w:rFonts w:cstheme="minorHAnsi"/>
        </w:rPr>
        <w:t>grantobiorcy</w:t>
      </w:r>
      <w:r w:rsidRPr="009D4E26">
        <w:rPr>
          <w:rFonts w:cstheme="minorHAnsi"/>
        </w:rPr>
        <w:t>.</w:t>
      </w:r>
      <w:r w:rsidR="00087BAE" w:rsidRPr="009D4E26">
        <w:rPr>
          <w:rFonts w:cstheme="minorHAnsi"/>
        </w:rPr>
        <w:t xml:space="preserve"> </w:t>
      </w:r>
    </w:p>
    <w:p w14:paraId="0BFEB4A1" w14:textId="77777777" w:rsidR="00087BAE" w:rsidRPr="009D4E26" w:rsidRDefault="00167A24" w:rsidP="009D4E26">
      <w:pPr>
        <w:pStyle w:val="Akapitzlist"/>
        <w:numPr>
          <w:ilvl w:val="0"/>
          <w:numId w:val="1"/>
        </w:numPr>
        <w:spacing w:after="0" w:line="240" w:lineRule="auto"/>
        <w:rPr>
          <w:rFonts w:cstheme="minorHAnsi"/>
          <w:b/>
        </w:rPr>
      </w:pPr>
      <w:r w:rsidRPr="009D4E26">
        <w:rPr>
          <w:rFonts w:cstheme="minorHAnsi"/>
        </w:rPr>
        <w:t>Odwołanie wnoszone</w:t>
      </w:r>
      <w:r w:rsidR="00087BAE" w:rsidRPr="009D4E26">
        <w:rPr>
          <w:rFonts w:cstheme="minorHAnsi"/>
        </w:rPr>
        <w:t xml:space="preserve"> jest w formie pisemnej </w:t>
      </w:r>
      <w:r w:rsidRPr="009D4E26">
        <w:rPr>
          <w:rFonts w:cstheme="minorHAnsi"/>
        </w:rPr>
        <w:t>złożone</w:t>
      </w:r>
      <w:r w:rsidR="00EA7E9C" w:rsidRPr="009D4E26">
        <w:rPr>
          <w:rFonts w:cstheme="minorHAnsi"/>
        </w:rPr>
        <w:t xml:space="preserve"> osobiście w biurze LGD w wyznaczonym terminie o którym mowa w pkt 2.</w:t>
      </w:r>
    </w:p>
    <w:p w14:paraId="45644347" w14:textId="77777777" w:rsidR="00087BAE" w:rsidRPr="009D4E26" w:rsidRDefault="00EA7E9C" w:rsidP="009D4E26">
      <w:pPr>
        <w:pStyle w:val="Akapitzlist"/>
        <w:numPr>
          <w:ilvl w:val="0"/>
          <w:numId w:val="1"/>
        </w:numPr>
        <w:spacing w:after="0" w:line="240" w:lineRule="auto"/>
        <w:rPr>
          <w:rFonts w:cstheme="minorHAnsi"/>
          <w:b/>
        </w:rPr>
      </w:pPr>
      <w:r w:rsidRPr="009D4E26">
        <w:rPr>
          <w:rFonts w:cstheme="minorHAnsi"/>
        </w:rPr>
        <w:t>Odwołanie podlega ponownemu</w:t>
      </w:r>
      <w:r w:rsidR="00087BAE" w:rsidRPr="009D4E26">
        <w:rPr>
          <w:rFonts w:cstheme="minorHAnsi"/>
        </w:rPr>
        <w:t xml:space="preserve"> rozpatrzeniu przez Radę</w:t>
      </w:r>
      <w:r w:rsidRPr="009D4E26">
        <w:rPr>
          <w:rFonts w:cstheme="minorHAnsi"/>
        </w:rPr>
        <w:t xml:space="preserve"> </w:t>
      </w:r>
      <w:r w:rsidR="00087BAE" w:rsidRPr="009D4E26">
        <w:rPr>
          <w:rFonts w:cstheme="minorHAnsi"/>
        </w:rPr>
        <w:t>wniosku o powierzenie grantu</w:t>
      </w:r>
      <w:r w:rsidRPr="009D4E26">
        <w:rPr>
          <w:rFonts w:cstheme="minorHAnsi"/>
        </w:rPr>
        <w:t>.</w:t>
      </w:r>
    </w:p>
    <w:p w14:paraId="3275DCE0" w14:textId="77777777" w:rsidR="00C564AA" w:rsidRPr="009D4E26" w:rsidRDefault="00C564AA" w:rsidP="009D4E26">
      <w:pPr>
        <w:pStyle w:val="Akapitzlist"/>
        <w:numPr>
          <w:ilvl w:val="0"/>
          <w:numId w:val="1"/>
        </w:numPr>
        <w:spacing w:after="0" w:line="240" w:lineRule="auto"/>
        <w:rPr>
          <w:rFonts w:cstheme="minorHAnsi"/>
          <w:b/>
        </w:rPr>
      </w:pPr>
      <w:r w:rsidRPr="009D4E26">
        <w:rPr>
          <w:rFonts w:cstheme="minorHAnsi"/>
        </w:rPr>
        <w:t>Odwołanie jest wnoszone w formie pisemnej i zawiera w szczególności:</w:t>
      </w:r>
    </w:p>
    <w:p w14:paraId="6EA74E4C" w14:textId="77777777" w:rsidR="00C564AA" w:rsidRPr="009D4E26" w:rsidRDefault="00C564AA" w:rsidP="009D4E26">
      <w:pPr>
        <w:pStyle w:val="Akapitzlist"/>
        <w:widowControl w:val="0"/>
        <w:suppressAutoHyphens/>
        <w:spacing w:after="0" w:line="240" w:lineRule="auto"/>
        <w:rPr>
          <w:rFonts w:cstheme="minorHAnsi"/>
        </w:rPr>
      </w:pPr>
      <w:r w:rsidRPr="009D4E26">
        <w:rPr>
          <w:rFonts w:cstheme="minorHAnsi"/>
        </w:rPr>
        <w:t>- nazwę LGD Kwiat Lnu,</w:t>
      </w:r>
    </w:p>
    <w:p w14:paraId="23739A0B" w14:textId="45CDE196" w:rsidR="00C564AA" w:rsidRPr="009D4E26" w:rsidRDefault="00C564AA" w:rsidP="009D4E26">
      <w:pPr>
        <w:pStyle w:val="Akapitzlist"/>
        <w:widowControl w:val="0"/>
        <w:suppressAutoHyphens/>
        <w:spacing w:after="0" w:line="240" w:lineRule="auto"/>
        <w:rPr>
          <w:rFonts w:cstheme="minorHAnsi"/>
        </w:rPr>
      </w:pPr>
      <w:r w:rsidRPr="009D4E26">
        <w:rPr>
          <w:rFonts w:cstheme="minorHAnsi"/>
        </w:rPr>
        <w:t xml:space="preserve">- dane </w:t>
      </w:r>
      <w:r w:rsidR="00827AF4" w:rsidRPr="009D4E26">
        <w:rPr>
          <w:rFonts w:cstheme="minorHAnsi"/>
        </w:rPr>
        <w:t>grantobiorcy</w:t>
      </w:r>
      <w:r w:rsidRPr="009D4E26">
        <w:rPr>
          <w:rFonts w:cstheme="minorHAnsi"/>
        </w:rPr>
        <w:t>,</w:t>
      </w:r>
    </w:p>
    <w:p w14:paraId="24E96925" w14:textId="77777777" w:rsidR="00C564AA" w:rsidRPr="009D4E26" w:rsidRDefault="00C564AA" w:rsidP="009D4E26">
      <w:pPr>
        <w:pStyle w:val="Akapitzlist"/>
        <w:widowControl w:val="0"/>
        <w:suppressAutoHyphens/>
        <w:spacing w:after="0" w:line="240" w:lineRule="auto"/>
        <w:rPr>
          <w:rFonts w:cstheme="minorHAnsi"/>
        </w:rPr>
      </w:pPr>
      <w:r w:rsidRPr="009D4E26">
        <w:rPr>
          <w:rFonts w:cstheme="minorHAnsi"/>
        </w:rPr>
        <w:t>- numer wniosku,</w:t>
      </w:r>
    </w:p>
    <w:p w14:paraId="29737F6B" w14:textId="23514A83" w:rsidR="00C564AA" w:rsidRPr="009D4E26" w:rsidRDefault="00C564AA" w:rsidP="009D4E26">
      <w:pPr>
        <w:pStyle w:val="Akapitzlist"/>
        <w:widowControl w:val="0"/>
        <w:suppressAutoHyphens/>
        <w:spacing w:after="0" w:line="240" w:lineRule="auto"/>
        <w:rPr>
          <w:rFonts w:cstheme="minorHAnsi"/>
        </w:rPr>
      </w:pPr>
      <w:r w:rsidRPr="009D4E26">
        <w:rPr>
          <w:rFonts w:cstheme="minorHAnsi"/>
        </w:rPr>
        <w:t xml:space="preserve">- wskazanie w jakim zakresie </w:t>
      </w:r>
      <w:r w:rsidR="00F96BDC" w:rsidRPr="009D4E26">
        <w:rPr>
          <w:rFonts w:cstheme="minorHAnsi"/>
        </w:rPr>
        <w:t>grantobiorca</w:t>
      </w:r>
      <w:r w:rsidRPr="009D4E26">
        <w:rPr>
          <w:rFonts w:cstheme="minorHAnsi"/>
        </w:rPr>
        <w:t xml:space="preserve"> nie zgadza się z oceną punktową wniosku wraz z uzasadnieniem.  </w:t>
      </w:r>
    </w:p>
    <w:p w14:paraId="4EEBF094" w14:textId="15410A39" w:rsidR="00B60C75" w:rsidRPr="009D4E26" w:rsidRDefault="00C564AA" w:rsidP="009D4E26">
      <w:pPr>
        <w:pStyle w:val="Akapitzlist"/>
        <w:widowControl w:val="0"/>
        <w:suppressAutoHyphens/>
        <w:spacing w:after="0" w:line="240" w:lineRule="auto"/>
        <w:rPr>
          <w:rFonts w:cstheme="minorHAnsi"/>
        </w:rPr>
      </w:pPr>
      <w:r w:rsidRPr="009D4E26">
        <w:rPr>
          <w:rFonts w:cstheme="minorHAnsi"/>
        </w:rPr>
        <w:t xml:space="preserve">- podpis </w:t>
      </w:r>
      <w:r w:rsidR="00827AF4" w:rsidRPr="009D4E26">
        <w:rPr>
          <w:rFonts w:cstheme="minorHAnsi"/>
        </w:rPr>
        <w:t>Grantobiorcy</w:t>
      </w:r>
      <w:r w:rsidRPr="009D4E26">
        <w:rPr>
          <w:rFonts w:cstheme="minorHAnsi"/>
        </w:rPr>
        <w:t xml:space="preserve"> lub osoby upoważnionej do jego reprezentowania z załączeniem oryginału lub kopii dokumentu poświadczającego umocowanie takiej osoby do reprezentowania </w:t>
      </w:r>
      <w:r w:rsidR="00827AF4" w:rsidRPr="009D4E26">
        <w:rPr>
          <w:rFonts w:cstheme="minorHAnsi"/>
        </w:rPr>
        <w:t>Grantobiorcy</w:t>
      </w:r>
      <w:r w:rsidRPr="009D4E26">
        <w:rPr>
          <w:rFonts w:cstheme="minorHAnsi"/>
        </w:rPr>
        <w:t>.</w:t>
      </w:r>
    </w:p>
    <w:p w14:paraId="4C794D42" w14:textId="77777777" w:rsidR="00B60C75" w:rsidRPr="009D4E26" w:rsidRDefault="00C564AA" w:rsidP="009D4E26">
      <w:pPr>
        <w:widowControl w:val="0"/>
        <w:suppressAutoHyphens/>
        <w:ind w:left="851" w:hanging="425"/>
        <w:rPr>
          <w:rFonts w:asciiTheme="minorHAnsi" w:hAnsiTheme="minorHAnsi" w:cstheme="minorHAnsi"/>
          <w:sz w:val="22"/>
          <w:szCs w:val="22"/>
        </w:rPr>
      </w:pPr>
      <w:r w:rsidRPr="009D4E26">
        <w:rPr>
          <w:rFonts w:asciiTheme="minorHAnsi" w:hAnsiTheme="minorHAnsi" w:cstheme="minorHAnsi"/>
          <w:sz w:val="22"/>
          <w:szCs w:val="22"/>
        </w:rPr>
        <w:t xml:space="preserve">6. </w:t>
      </w:r>
      <w:r w:rsidR="00B60C75" w:rsidRPr="009D4E26">
        <w:rPr>
          <w:rFonts w:asciiTheme="minorHAnsi" w:hAnsiTheme="minorHAnsi" w:cstheme="minorHAnsi"/>
          <w:sz w:val="22"/>
          <w:szCs w:val="22"/>
        </w:rPr>
        <w:t xml:space="preserve"> Do odwołania nie można załączyć dodatkowych dokumentów, które nie zostały złożone wraz z wnioskiem o powierzenie grantu.</w:t>
      </w:r>
    </w:p>
    <w:p w14:paraId="6495C19A" w14:textId="77777777" w:rsidR="00087BAE" w:rsidRPr="009D4E26" w:rsidRDefault="00B60C75" w:rsidP="009D4E26">
      <w:pPr>
        <w:widowControl w:val="0"/>
        <w:suppressAutoHyphens/>
        <w:ind w:left="851" w:hanging="425"/>
        <w:rPr>
          <w:rFonts w:asciiTheme="minorHAnsi" w:hAnsiTheme="minorHAnsi" w:cstheme="minorHAnsi"/>
          <w:sz w:val="22"/>
          <w:szCs w:val="22"/>
        </w:rPr>
      </w:pPr>
      <w:r w:rsidRPr="009D4E26">
        <w:rPr>
          <w:rFonts w:asciiTheme="minorHAnsi" w:hAnsiTheme="minorHAnsi" w:cstheme="minorHAnsi"/>
          <w:sz w:val="22"/>
          <w:szCs w:val="22"/>
        </w:rPr>
        <w:lastRenderedPageBreak/>
        <w:t xml:space="preserve">7.  </w:t>
      </w:r>
      <w:r w:rsidR="00087BAE" w:rsidRPr="009D4E26">
        <w:rPr>
          <w:rFonts w:asciiTheme="minorHAnsi" w:hAnsiTheme="minorHAnsi" w:cstheme="minorHAnsi"/>
          <w:sz w:val="22"/>
          <w:szCs w:val="22"/>
        </w:rPr>
        <w:t>Odwołanie pozostaje bez rozpatrzenia w przypadku, gdy:</w:t>
      </w:r>
    </w:p>
    <w:p w14:paraId="60312EF9" w14:textId="77777777" w:rsidR="00087BAE" w:rsidRPr="009D4E26" w:rsidRDefault="00087BAE" w:rsidP="009D4E26">
      <w:pPr>
        <w:pStyle w:val="Akapitzlist"/>
        <w:numPr>
          <w:ilvl w:val="1"/>
          <w:numId w:val="1"/>
        </w:numPr>
        <w:spacing w:after="0" w:line="240" w:lineRule="auto"/>
        <w:ind w:left="1080"/>
        <w:jc w:val="both"/>
        <w:rPr>
          <w:rFonts w:cstheme="minorHAnsi"/>
        </w:rPr>
      </w:pPr>
      <w:r w:rsidRPr="009D4E26">
        <w:rPr>
          <w:rFonts w:cstheme="minorHAnsi"/>
        </w:rPr>
        <w:t>został</w:t>
      </w:r>
      <w:r w:rsidR="00167A24" w:rsidRPr="009D4E26">
        <w:rPr>
          <w:rFonts w:cstheme="minorHAnsi"/>
        </w:rPr>
        <w:t>o wniesione</w:t>
      </w:r>
      <w:r w:rsidRPr="009D4E26">
        <w:rPr>
          <w:rFonts w:cstheme="minorHAnsi"/>
        </w:rPr>
        <w:t xml:space="preserve"> po upływie wskazanego terminu,</w:t>
      </w:r>
    </w:p>
    <w:p w14:paraId="59E3F43A" w14:textId="77777777" w:rsidR="00087BAE" w:rsidRPr="009D4E26" w:rsidRDefault="00087BAE" w:rsidP="009D4E26">
      <w:pPr>
        <w:pStyle w:val="Akapitzlist"/>
        <w:numPr>
          <w:ilvl w:val="1"/>
          <w:numId w:val="1"/>
        </w:numPr>
        <w:spacing w:after="0" w:line="240" w:lineRule="auto"/>
        <w:ind w:left="1080"/>
        <w:jc w:val="both"/>
        <w:rPr>
          <w:rFonts w:cstheme="minorHAnsi"/>
        </w:rPr>
      </w:pPr>
      <w:r w:rsidRPr="009D4E26">
        <w:rPr>
          <w:rFonts w:cstheme="minorHAnsi"/>
        </w:rPr>
        <w:t>został</w:t>
      </w:r>
      <w:r w:rsidR="00167A24" w:rsidRPr="009D4E26">
        <w:rPr>
          <w:rFonts w:cstheme="minorHAnsi"/>
        </w:rPr>
        <w:t>o wniesione</w:t>
      </w:r>
      <w:r w:rsidRPr="009D4E26">
        <w:rPr>
          <w:rFonts w:cstheme="minorHAnsi"/>
        </w:rPr>
        <w:t xml:space="preserve"> przez nieuprawniony podmiot, tzn. nie będący grantobiorcą, którego wniosek o powierzenie grantu  podlegał ocenie,</w:t>
      </w:r>
    </w:p>
    <w:p w14:paraId="191D32E2" w14:textId="3887E5D6" w:rsidR="00087BAE" w:rsidRPr="009D4E26" w:rsidRDefault="00C564AA" w:rsidP="009D4E26">
      <w:pPr>
        <w:pStyle w:val="Akapitzlist"/>
        <w:numPr>
          <w:ilvl w:val="1"/>
          <w:numId w:val="1"/>
        </w:numPr>
        <w:spacing w:after="0" w:line="240" w:lineRule="auto"/>
        <w:ind w:left="1080"/>
        <w:jc w:val="both"/>
        <w:rPr>
          <w:rFonts w:cstheme="minorHAnsi"/>
        </w:rPr>
      </w:pPr>
      <w:r w:rsidRPr="009D4E26">
        <w:rPr>
          <w:rFonts w:cstheme="minorHAnsi"/>
        </w:rPr>
        <w:t>nie zawiera</w:t>
      </w:r>
      <w:r w:rsidR="00087BAE" w:rsidRPr="009D4E26">
        <w:rPr>
          <w:rFonts w:cstheme="minorHAnsi"/>
        </w:rPr>
        <w:t xml:space="preserve"> pisemnego </w:t>
      </w:r>
      <w:r w:rsidRPr="009D4E26">
        <w:rPr>
          <w:rFonts w:cstheme="minorHAnsi"/>
        </w:rPr>
        <w:t xml:space="preserve">wskazania w jakim zakresie </w:t>
      </w:r>
      <w:r w:rsidR="00F96BDC" w:rsidRPr="009D4E26">
        <w:rPr>
          <w:rFonts w:cstheme="minorHAnsi"/>
        </w:rPr>
        <w:t>grantobiorca</w:t>
      </w:r>
      <w:r w:rsidRPr="009D4E26">
        <w:rPr>
          <w:rFonts w:cstheme="minorHAnsi"/>
        </w:rPr>
        <w:t xml:space="preserve"> nie zgadza się z oceną punktową wniosku wraz z uzasadnieniem.  </w:t>
      </w:r>
    </w:p>
    <w:p w14:paraId="1035CB77" w14:textId="77777777" w:rsidR="00087BAE" w:rsidRPr="009D4E26" w:rsidRDefault="00B60C75" w:rsidP="009D4E26">
      <w:pPr>
        <w:pStyle w:val="Akapitzlist"/>
        <w:numPr>
          <w:ilvl w:val="0"/>
          <w:numId w:val="24"/>
        </w:numPr>
        <w:spacing w:after="0" w:line="240" w:lineRule="auto"/>
        <w:jc w:val="both"/>
        <w:rPr>
          <w:rFonts w:cstheme="minorHAnsi"/>
        </w:rPr>
      </w:pPr>
      <w:r w:rsidRPr="009D4E26">
        <w:rPr>
          <w:rFonts w:cstheme="minorHAnsi"/>
        </w:rPr>
        <w:t>Na posiedzeniu odwoławczym</w:t>
      </w:r>
      <w:r w:rsidR="00087BAE" w:rsidRPr="009D4E26">
        <w:rPr>
          <w:rFonts w:cstheme="minorHAnsi"/>
        </w:rPr>
        <w:t xml:space="preserve">  członkowie Rady rozpatrują wniosek na podstawie kryteriów obowiązujących w danym konkursie i tylko w tych elementach, których dotyczy uzasadnienie podane przez grantobiorcę.</w:t>
      </w:r>
    </w:p>
    <w:p w14:paraId="7ACB5304" w14:textId="77777777" w:rsidR="00087BAE" w:rsidRPr="009D4E26" w:rsidRDefault="00087BAE" w:rsidP="009D4E26">
      <w:pPr>
        <w:pStyle w:val="Akapitzlist"/>
        <w:numPr>
          <w:ilvl w:val="0"/>
          <w:numId w:val="24"/>
        </w:numPr>
        <w:spacing w:after="0" w:line="240" w:lineRule="auto"/>
        <w:jc w:val="both"/>
        <w:rPr>
          <w:rFonts w:cstheme="minorHAnsi"/>
        </w:rPr>
      </w:pPr>
      <w:r w:rsidRPr="009D4E26">
        <w:rPr>
          <w:rFonts w:cstheme="minorHAnsi"/>
        </w:rPr>
        <w:t>Wniosek o powierzenie gran</w:t>
      </w:r>
      <w:r w:rsidR="00B60C75" w:rsidRPr="009D4E26">
        <w:rPr>
          <w:rFonts w:cstheme="minorHAnsi"/>
        </w:rPr>
        <w:t xml:space="preserve">tu </w:t>
      </w:r>
      <w:r w:rsidRPr="009D4E26">
        <w:rPr>
          <w:rFonts w:cstheme="minorHAnsi"/>
        </w:rPr>
        <w:t>, który w wyniku ponownego rozpatrzenia uzyskał liczbę punktów kwalifikujących go do objęcia wsparciem w danym naborze, zyskuje prawo dofinansowania. Ten fakt może spowodować skreślenie z listy operacji o mniejszej liczbie punktów.</w:t>
      </w:r>
    </w:p>
    <w:p w14:paraId="653CC8E5" w14:textId="77777777" w:rsidR="00B60C75" w:rsidRPr="009D4E26" w:rsidRDefault="00B60C75" w:rsidP="009D4E26">
      <w:pPr>
        <w:pStyle w:val="Akapitzlist"/>
        <w:numPr>
          <w:ilvl w:val="0"/>
          <w:numId w:val="24"/>
        </w:numPr>
        <w:spacing w:after="0" w:line="240" w:lineRule="auto"/>
        <w:jc w:val="both"/>
        <w:rPr>
          <w:rFonts w:cstheme="minorHAnsi"/>
        </w:rPr>
      </w:pPr>
      <w:r w:rsidRPr="009D4E26">
        <w:rPr>
          <w:rFonts w:cstheme="minorHAnsi"/>
        </w:rPr>
        <w:t>Ponowna decyzja Rady jest ostateczna i nie przysługuje od niej odwołanie.</w:t>
      </w:r>
    </w:p>
    <w:p w14:paraId="67F3F08D" w14:textId="1D76B035" w:rsidR="003467E9" w:rsidRPr="009D4E26" w:rsidRDefault="00B60C75" w:rsidP="009D4E26">
      <w:pPr>
        <w:pStyle w:val="Akapitzlist"/>
        <w:numPr>
          <w:ilvl w:val="0"/>
          <w:numId w:val="24"/>
        </w:numPr>
        <w:spacing w:after="0" w:line="240" w:lineRule="auto"/>
        <w:jc w:val="both"/>
        <w:rPr>
          <w:rFonts w:cstheme="minorHAnsi"/>
        </w:rPr>
      </w:pPr>
      <w:r w:rsidRPr="009D4E26">
        <w:rPr>
          <w:rFonts w:cstheme="minorHAnsi"/>
        </w:rPr>
        <w:t xml:space="preserve">Po zakończeniu procedury odwoławczej </w:t>
      </w:r>
      <w:r w:rsidR="00827AF4" w:rsidRPr="009D4E26">
        <w:rPr>
          <w:rFonts w:cstheme="minorHAnsi"/>
        </w:rPr>
        <w:t>grantobiorcy</w:t>
      </w:r>
      <w:r w:rsidRPr="009D4E26">
        <w:rPr>
          <w:rFonts w:cstheme="minorHAnsi"/>
        </w:rPr>
        <w:t xml:space="preserve"> zostaną pisemnie poinformowani o wynikach oceny złożonych wniosków</w:t>
      </w:r>
      <w:r w:rsidR="007E5185" w:rsidRPr="009D4E26">
        <w:rPr>
          <w:rFonts w:cstheme="minorHAnsi"/>
        </w:rPr>
        <w:t>.</w:t>
      </w:r>
    </w:p>
    <w:p w14:paraId="4A691F13" w14:textId="4270A15E" w:rsidR="007E5185" w:rsidRPr="009D4E26" w:rsidRDefault="00B60C75" w:rsidP="009D4E26">
      <w:pPr>
        <w:pStyle w:val="Akapitzlist"/>
        <w:numPr>
          <w:ilvl w:val="0"/>
          <w:numId w:val="24"/>
        </w:numPr>
        <w:spacing w:after="0" w:line="240" w:lineRule="auto"/>
        <w:jc w:val="both"/>
        <w:rPr>
          <w:rFonts w:cstheme="minorHAnsi"/>
        </w:rPr>
      </w:pPr>
      <w:r w:rsidRPr="009D4E26">
        <w:rPr>
          <w:rFonts w:cstheme="minorHAnsi"/>
        </w:rPr>
        <w:t xml:space="preserve">Lista rankingowa oraz rezerwowa lista rankingowa zostanie zamieszczona na stronie internetowej </w:t>
      </w:r>
      <w:hyperlink r:id="rId15" w:history="1">
        <w:r w:rsidR="003467E9" w:rsidRPr="009D4E26">
          <w:rPr>
            <w:rStyle w:val="Hipercze"/>
            <w:rFonts w:cstheme="minorHAnsi"/>
            <w:color w:val="auto"/>
          </w:rPr>
          <w:t>www.kwiatlnu.eu</w:t>
        </w:r>
      </w:hyperlink>
      <w:r w:rsidR="00294753" w:rsidRPr="009D4E26">
        <w:rPr>
          <w:rFonts w:cstheme="minorHAnsi"/>
        </w:rPr>
        <w:t>.</w:t>
      </w:r>
    </w:p>
    <w:p w14:paraId="7DB023DD" w14:textId="77777777" w:rsidR="005A5B65" w:rsidRPr="009D4E26" w:rsidRDefault="005A5B65" w:rsidP="009D4E26">
      <w:pPr>
        <w:ind w:left="360"/>
        <w:jc w:val="center"/>
        <w:rPr>
          <w:rFonts w:asciiTheme="minorHAnsi" w:hAnsiTheme="minorHAnsi" w:cstheme="minorHAnsi"/>
          <w:b/>
          <w:color w:val="FF0000"/>
          <w:sz w:val="22"/>
          <w:szCs w:val="22"/>
        </w:rPr>
      </w:pPr>
      <w:bookmarkStart w:id="2" w:name="_Toc226881900"/>
    </w:p>
    <w:p w14:paraId="7124BD3B" w14:textId="372A1CF0" w:rsidR="007D081D" w:rsidRPr="007D081D" w:rsidRDefault="00294753" w:rsidP="007D081D">
      <w:pPr>
        <w:ind w:left="360"/>
        <w:jc w:val="center"/>
        <w:rPr>
          <w:rFonts w:asciiTheme="minorHAnsi" w:hAnsiTheme="minorHAnsi" w:cstheme="minorHAnsi"/>
          <w:b/>
          <w:sz w:val="22"/>
          <w:szCs w:val="22"/>
        </w:rPr>
      </w:pPr>
      <w:r w:rsidRPr="007D081D">
        <w:rPr>
          <w:rFonts w:asciiTheme="minorHAnsi" w:hAnsiTheme="minorHAnsi" w:cstheme="minorHAnsi"/>
          <w:b/>
          <w:sz w:val="22"/>
          <w:szCs w:val="22"/>
        </w:rPr>
        <w:t>§ 9</w:t>
      </w:r>
    </w:p>
    <w:p w14:paraId="0DE32C8D" w14:textId="3CE8830F" w:rsidR="00125CBC" w:rsidRPr="009D4E26" w:rsidRDefault="00125CBC" w:rsidP="009D4E26">
      <w:pPr>
        <w:ind w:left="360"/>
        <w:jc w:val="center"/>
        <w:rPr>
          <w:rFonts w:asciiTheme="minorHAnsi" w:hAnsiTheme="minorHAnsi" w:cstheme="minorHAnsi"/>
          <w:b/>
          <w:sz w:val="22"/>
          <w:szCs w:val="22"/>
        </w:rPr>
      </w:pPr>
      <w:r w:rsidRPr="009D4E26">
        <w:rPr>
          <w:rFonts w:asciiTheme="minorHAnsi" w:hAnsiTheme="minorHAnsi" w:cstheme="minorHAnsi"/>
          <w:b/>
          <w:sz w:val="22"/>
          <w:szCs w:val="22"/>
        </w:rPr>
        <w:t>Nabór uzupełniający</w:t>
      </w:r>
    </w:p>
    <w:p w14:paraId="5F30E0E2" w14:textId="77777777" w:rsidR="00125CBC" w:rsidRPr="009D4E26" w:rsidRDefault="00125CBC" w:rsidP="009D4E26">
      <w:pPr>
        <w:rPr>
          <w:rFonts w:asciiTheme="minorHAnsi" w:hAnsiTheme="minorHAnsi" w:cstheme="minorHAnsi"/>
          <w:b/>
          <w:sz w:val="22"/>
          <w:szCs w:val="22"/>
        </w:rPr>
      </w:pPr>
    </w:p>
    <w:p w14:paraId="2D425C69" w14:textId="4E364523" w:rsidR="005A5B65" w:rsidRPr="009D4E26" w:rsidRDefault="00125CBC" w:rsidP="009D4E26">
      <w:pPr>
        <w:pStyle w:val="Akapitzlist"/>
        <w:spacing w:after="0" w:line="240" w:lineRule="auto"/>
        <w:ind w:left="709"/>
        <w:rPr>
          <w:rFonts w:cstheme="minorHAnsi"/>
        </w:rPr>
      </w:pPr>
      <w:r w:rsidRPr="009D4E26">
        <w:rPr>
          <w:rFonts w:cstheme="minorHAnsi"/>
        </w:rPr>
        <w:t>W przypadku ogłoszenia przez LGD na</w:t>
      </w:r>
      <w:r w:rsidR="005A5B65" w:rsidRPr="009D4E26">
        <w:rPr>
          <w:rFonts w:cstheme="minorHAnsi"/>
        </w:rPr>
        <w:t>boru wniosków   i nie złożenia</w:t>
      </w:r>
      <w:r w:rsidRPr="009D4E26">
        <w:rPr>
          <w:rFonts w:cstheme="minorHAnsi"/>
        </w:rPr>
        <w:t xml:space="preserve"> odpowiedniej ilości wniosków o powierzenie grantu na realizację zadań służących osiągnięciu celu Projektu Grantowego, co spowoduje nie osiągnięcie przez LGD celów zaplanowanych do realizacji Projektu Grantowego  oraz wskaźników jego realizacji, LGD może po uzgodnieniu z Samorządem Województwa Dolnośląskiego ogłosić ponowny – uzupełniający nabór wniosków o powierzenie grantów w celu wyboru dostatecznej ilości Grantobiorców dla zapewnienia celu Projektów Grantowego i wskaźników jego realizacji. W tym przypadku procedury naboru, o których mowa w regulaminie naboru wniosków </w:t>
      </w:r>
      <w:r w:rsidR="005A5B65" w:rsidRPr="009D4E26">
        <w:rPr>
          <w:rFonts w:cstheme="minorHAnsi"/>
        </w:rPr>
        <w:t xml:space="preserve"> stosuje się odpowiednio lub</w:t>
      </w:r>
    </w:p>
    <w:p w14:paraId="5D32E8CC" w14:textId="77777777" w:rsidR="00E14A22" w:rsidRPr="009D4E26" w:rsidRDefault="00E14A22" w:rsidP="009D4E26">
      <w:pPr>
        <w:rPr>
          <w:rFonts w:asciiTheme="minorHAnsi" w:hAnsiTheme="minorHAnsi" w:cstheme="minorHAnsi"/>
          <w:sz w:val="22"/>
          <w:szCs w:val="22"/>
        </w:rPr>
      </w:pPr>
    </w:p>
    <w:p w14:paraId="0435398C" w14:textId="77777777" w:rsidR="00294753" w:rsidRPr="009D4E26" w:rsidRDefault="00294753" w:rsidP="009D4E26">
      <w:pPr>
        <w:ind w:left="360"/>
        <w:jc w:val="center"/>
        <w:rPr>
          <w:rFonts w:asciiTheme="minorHAnsi" w:hAnsiTheme="minorHAnsi" w:cstheme="minorHAnsi"/>
          <w:b/>
          <w:sz w:val="22"/>
          <w:szCs w:val="22"/>
        </w:rPr>
      </w:pPr>
    </w:p>
    <w:p w14:paraId="4A6A7559" w14:textId="65A4F921" w:rsidR="007D081D" w:rsidRPr="007D081D" w:rsidRDefault="00294753" w:rsidP="007D081D">
      <w:pPr>
        <w:ind w:left="357"/>
        <w:jc w:val="center"/>
        <w:rPr>
          <w:rFonts w:asciiTheme="minorHAnsi" w:hAnsiTheme="minorHAnsi" w:cstheme="minorHAnsi"/>
          <w:b/>
          <w:sz w:val="22"/>
          <w:szCs w:val="22"/>
        </w:rPr>
      </w:pPr>
      <w:r w:rsidRPr="007D081D">
        <w:rPr>
          <w:rFonts w:asciiTheme="minorHAnsi" w:hAnsiTheme="minorHAnsi" w:cstheme="minorHAnsi"/>
          <w:b/>
          <w:sz w:val="22"/>
          <w:szCs w:val="22"/>
        </w:rPr>
        <w:t>§ 10</w:t>
      </w:r>
    </w:p>
    <w:p w14:paraId="64C9CEC8" w14:textId="2EF445D8" w:rsidR="005A5B65" w:rsidRPr="009D4E26" w:rsidRDefault="00577188" w:rsidP="009D4E26">
      <w:pPr>
        <w:ind w:left="357"/>
        <w:jc w:val="center"/>
        <w:rPr>
          <w:rFonts w:asciiTheme="minorHAnsi" w:hAnsiTheme="minorHAnsi" w:cstheme="minorHAnsi"/>
          <w:b/>
          <w:sz w:val="22"/>
          <w:szCs w:val="22"/>
        </w:rPr>
      </w:pPr>
      <w:r>
        <w:rPr>
          <w:rFonts w:asciiTheme="minorHAnsi" w:hAnsiTheme="minorHAnsi" w:cstheme="minorHAnsi"/>
          <w:b/>
          <w:sz w:val="22"/>
          <w:szCs w:val="22"/>
        </w:rPr>
        <w:t>O</w:t>
      </w:r>
      <w:r w:rsidR="005A5B65" w:rsidRPr="009D4E26">
        <w:rPr>
          <w:rFonts w:asciiTheme="minorHAnsi" w:hAnsiTheme="minorHAnsi" w:cstheme="minorHAnsi"/>
          <w:b/>
          <w:sz w:val="22"/>
          <w:szCs w:val="22"/>
        </w:rPr>
        <w:t>dstąpienie od konkursu</w:t>
      </w:r>
    </w:p>
    <w:p w14:paraId="4ABF4D68" w14:textId="77777777" w:rsidR="00E14A22" w:rsidRPr="009D4E26" w:rsidRDefault="00E14A22" w:rsidP="009D4E26">
      <w:pPr>
        <w:ind w:left="360"/>
        <w:jc w:val="center"/>
        <w:rPr>
          <w:rFonts w:asciiTheme="minorHAnsi" w:hAnsiTheme="minorHAnsi" w:cstheme="minorHAnsi"/>
          <w:b/>
          <w:color w:val="FF0000"/>
          <w:sz w:val="22"/>
          <w:szCs w:val="22"/>
        </w:rPr>
      </w:pPr>
    </w:p>
    <w:p w14:paraId="5451C15E" w14:textId="77777777" w:rsidR="005A5B65" w:rsidRPr="009D4E26" w:rsidRDefault="005A5B65" w:rsidP="009D4E26">
      <w:pPr>
        <w:pStyle w:val="Akapitzlist"/>
        <w:spacing w:after="0" w:line="240" w:lineRule="auto"/>
        <w:ind w:left="709"/>
        <w:rPr>
          <w:rFonts w:cstheme="minorHAnsi"/>
          <w:color w:val="FF0000"/>
        </w:rPr>
      </w:pPr>
      <w:r w:rsidRPr="009D4E26">
        <w:t>LGD może odstąpić od konkursu o wybór wniosków o powierzenie grantów w sytuacji braku możliwości osiągnięcia celów projektu grantowego i wskaźników jego realizacji na podstawie złożonych / wybranych wniosków o powierzenie grantu lub na skutek rezygnacji przez grantobiorców z realizacji zadań lub rozwiązania umów o powierzenie grantów.</w:t>
      </w:r>
    </w:p>
    <w:p w14:paraId="28097C67" w14:textId="77777777" w:rsidR="00167A24" w:rsidRPr="009D4E26" w:rsidRDefault="00167A24" w:rsidP="009D4E26">
      <w:pPr>
        <w:jc w:val="both"/>
        <w:rPr>
          <w:rFonts w:asciiTheme="minorHAnsi" w:hAnsiTheme="minorHAnsi" w:cstheme="minorHAnsi"/>
        </w:rPr>
      </w:pPr>
    </w:p>
    <w:p w14:paraId="442F917C" w14:textId="77777777" w:rsidR="00294753" w:rsidRPr="009D4E26" w:rsidRDefault="00294753" w:rsidP="009D4E26">
      <w:pPr>
        <w:jc w:val="both"/>
        <w:rPr>
          <w:rFonts w:asciiTheme="minorHAnsi" w:hAnsiTheme="minorHAnsi" w:cstheme="minorHAnsi"/>
        </w:rPr>
      </w:pPr>
    </w:p>
    <w:p w14:paraId="0EF64B4B" w14:textId="77777777" w:rsidR="00087BAE" w:rsidRPr="009D4E26" w:rsidRDefault="00FD7CA6" w:rsidP="009D4E26">
      <w:pPr>
        <w:jc w:val="both"/>
        <w:rPr>
          <w:rFonts w:asciiTheme="minorHAnsi" w:hAnsiTheme="minorHAnsi" w:cstheme="minorHAnsi"/>
          <w:sz w:val="22"/>
          <w:szCs w:val="22"/>
        </w:rPr>
      </w:pPr>
      <w:r w:rsidRPr="009D4E26">
        <w:rPr>
          <w:rFonts w:asciiTheme="minorHAnsi" w:hAnsiTheme="minorHAnsi" w:cstheme="minorHAnsi"/>
          <w:sz w:val="22"/>
          <w:szCs w:val="22"/>
        </w:rPr>
        <w:t>Słowniczek:</w:t>
      </w:r>
    </w:p>
    <w:p w14:paraId="19B347DA" w14:textId="77777777" w:rsidR="00FD7CA6" w:rsidRPr="009D4E26" w:rsidRDefault="00FD7CA6" w:rsidP="009D4E26">
      <w:pPr>
        <w:jc w:val="both"/>
        <w:rPr>
          <w:rFonts w:asciiTheme="minorHAnsi" w:hAnsiTheme="minorHAnsi" w:cstheme="minorHAnsi"/>
          <w:sz w:val="22"/>
          <w:szCs w:val="22"/>
        </w:rPr>
      </w:pPr>
      <w:r w:rsidRPr="009D4E26">
        <w:rPr>
          <w:rFonts w:asciiTheme="minorHAnsi" w:hAnsiTheme="minorHAnsi" w:cstheme="minorHAnsi"/>
          <w:sz w:val="22"/>
          <w:szCs w:val="22"/>
        </w:rPr>
        <w:t>Użyte w niniejszym dokumencie terminy oznaczają:</w:t>
      </w:r>
    </w:p>
    <w:p w14:paraId="0DD8343D" w14:textId="77777777" w:rsidR="00FD7CA6" w:rsidRPr="009D4E26" w:rsidRDefault="00FD7CA6" w:rsidP="009D4E26">
      <w:pPr>
        <w:numPr>
          <w:ilvl w:val="0"/>
          <w:numId w:val="14"/>
        </w:numPr>
        <w:jc w:val="both"/>
        <w:rPr>
          <w:rFonts w:asciiTheme="minorHAnsi" w:hAnsiTheme="minorHAnsi" w:cstheme="minorHAnsi"/>
          <w:sz w:val="22"/>
          <w:szCs w:val="22"/>
        </w:rPr>
      </w:pPr>
      <w:r w:rsidRPr="009D4E26">
        <w:rPr>
          <w:rFonts w:asciiTheme="minorHAnsi" w:hAnsiTheme="minorHAnsi" w:cstheme="minorHAnsi"/>
          <w:b/>
          <w:sz w:val="22"/>
          <w:szCs w:val="22"/>
        </w:rPr>
        <w:t xml:space="preserve">LGD </w:t>
      </w:r>
      <w:r w:rsidRPr="009D4E26">
        <w:rPr>
          <w:rFonts w:asciiTheme="minorHAnsi" w:hAnsiTheme="minorHAnsi" w:cstheme="minorHAnsi"/>
          <w:sz w:val="22"/>
          <w:szCs w:val="22"/>
        </w:rPr>
        <w:t xml:space="preserve">– Stowarzyszenie LGD Kwiat Lnu; </w:t>
      </w:r>
    </w:p>
    <w:p w14:paraId="3A58CAEC" w14:textId="77777777" w:rsidR="00FD7CA6" w:rsidRPr="009D4E26" w:rsidRDefault="00FD7CA6" w:rsidP="009D4E26">
      <w:pPr>
        <w:numPr>
          <w:ilvl w:val="0"/>
          <w:numId w:val="14"/>
        </w:numPr>
        <w:jc w:val="both"/>
        <w:rPr>
          <w:rFonts w:asciiTheme="minorHAnsi" w:hAnsiTheme="minorHAnsi" w:cstheme="minorHAnsi"/>
          <w:sz w:val="22"/>
          <w:szCs w:val="22"/>
        </w:rPr>
      </w:pPr>
      <w:r w:rsidRPr="009D4E26">
        <w:rPr>
          <w:rFonts w:asciiTheme="minorHAnsi" w:hAnsiTheme="minorHAnsi" w:cstheme="minorHAnsi"/>
          <w:b/>
          <w:sz w:val="22"/>
          <w:szCs w:val="22"/>
        </w:rPr>
        <w:t>Zarząd</w:t>
      </w:r>
      <w:r w:rsidRPr="009D4E26">
        <w:rPr>
          <w:rFonts w:asciiTheme="minorHAnsi" w:hAnsiTheme="minorHAnsi" w:cstheme="minorHAnsi"/>
          <w:sz w:val="22"/>
          <w:szCs w:val="22"/>
        </w:rPr>
        <w:t xml:space="preserve"> – Zarząd Stowarzyszenia LGD Kwiat Lnu;</w:t>
      </w:r>
    </w:p>
    <w:p w14:paraId="7B6D9380" w14:textId="77777777" w:rsidR="00FD7CA6" w:rsidRPr="009D4E26" w:rsidRDefault="00FD7CA6" w:rsidP="009D4E26">
      <w:pPr>
        <w:numPr>
          <w:ilvl w:val="0"/>
          <w:numId w:val="14"/>
        </w:numPr>
        <w:jc w:val="both"/>
        <w:rPr>
          <w:rFonts w:asciiTheme="minorHAnsi" w:hAnsiTheme="minorHAnsi" w:cstheme="minorHAnsi"/>
          <w:sz w:val="22"/>
          <w:szCs w:val="22"/>
        </w:rPr>
      </w:pPr>
      <w:r w:rsidRPr="009D4E26">
        <w:rPr>
          <w:rFonts w:asciiTheme="minorHAnsi" w:hAnsiTheme="minorHAnsi" w:cstheme="minorHAnsi"/>
          <w:b/>
          <w:sz w:val="22"/>
          <w:szCs w:val="22"/>
        </w:rPr>
        <w:t>Rada</w:t>
      </w:r>
      <w:r w:rsidRPr="009D4E26">
        <w:rPr>
          <w:rFonts w:asciiTheme="minorHAnsi" w:hAnsiTheme="minorHAnsi" w:cstheme="minorHAnsi"/>
          <w:sz w:val="22"/>
          <w:szCs w:val="22"/>
        </w:rPr>
        <w:t xml:space="preserve"> – Rada Stowarzyszenia LGD Kwiat Lnu.;</w:t>
      </w:r>
    </w:p>
    <w:p w14:paraId="35C0988D" w14:textId="77777777" w:rsidR="00FD7CA6" w:rsidRPr="009D4E26" w:rsidRDefault="00FD7CA6" w:rsidP="009D4E26">
      <w:pPr>
        <w:numPr>
          <w:ilvl w:val="0"/>
          <w:numId w:val="14"/>
        </w:numPr>
        <w:jc w:val="both"/>
        <w:rPr>
          <w:rFonts w:asciiTheme="minorHAnsi" w:hAnsiTheme="minorHAnsi" w:cstheme="minorHAnsi"/>
          <w:sz w:val="22"/>
          <w:szCs w:val="22"/>
        </w:rPr>
      </w:pPr>
      <w:r w:rsidRPr="009D4E26">
        <w:rPr>
          <w:rFonts w:asciiTheme="minorHAnsi" w:hAnsiTheme="minorHAnsi" w:cstheme="minorHAnsi"/>
          <w:b/>
          <w:sz w:val="22"/>
          <w:szCs w:val="22"/>
        </w:rPr>
        <w:t>Biuro</w:t>
      </w:r>
      <w:r w:rsidRPr="009D4E26">
        <w:rPr>
          <w:rFonts w:asciiTheme="minorHAnsi" w:hAnsiTheme="minorHAnsi" w:cstheme="minorHAnsi"/>
          <w:sz w:val="22"/>
          <w:szCs w:val="22"/>
        </w:rPr>
        <w:t xml:space="preserve"> – Biuro Stowarzyszenia LGD Kwiat Lnu;</w:t>
      </w:r>
    </w:p>
    <w:p w14:paraId="38A92739" w14:textId="77777777" w:rsidR="00FD7CA6" w:rsidRPr="009D4E26" w:rsidRDefault="00FD7CA6" w:rsidP="009D4E26">
      <w:pPr>
        <w:numPr>
          <w:ilvl w:val="0"/>
          <w:numId w:val="14"/>
        </w:numPr>
        <w:jc w:val="both"/>
        <w:rPr>
          <w:rFonts w:asciiTheme="minorHAnsi" w:hAnsiTheme="minorHAnsi" w:cstheme="minorHAnsi"/>
          <w:sz w:val="22"/>
          <w:szCs w:val="22"/>
        </w:rPr>
      </w:pPr>
      <w:r w:rsidRPr="009D4E26">
        <w:rPr>
          <w:rFonts w:asciiTheme="minorHAnsi" w:hAnsiTheme="minorHAnsi" w:cstheme="minorHAnsi"/>
          <w:b/>
          <w:sz w:val="22"/>
          <w:szCs w:val="22"/>
        </w:rPr>
        <w:t xml:space="preserve">LSR </w:t>
      </w:r>
      <w:r w:rsidRPr="009D4E26">
        <w:rPr>
          <w:rFonts w:asciiTheme="minorHAnsi" w:hAnsiTheme="minorHAnsi" w:cstheme="minorHAnsi"/>
          <w:sz w:val="22"/>
          <w:szCs w:val="22"/>
        </w:rPr>
        <w:t>– Lokalna Strategia Rozwoju opracowana przez LGD i realizowana na podstawie umowy ramowej zawartej z Zarządem Województwa Dolnośląskiego;</w:t>
      </w:r>
    </w:p>
    <w:p w14:paraId="4C5292EB" w14:textId="77777777" w:rsidR="00FD7CA6" w:rsidRPr="009D4E26" w:rsidRDefault="00FD7CA6" w:rsidP="009D4E26">
      <w:pPr>
        <w:numPr>
          <w:ilvl w:val="0"/>
          <w:numId w:val="14"/>
        </w:numPr>
        <w:jc w:val="both"/>
        <w:rPr>
          <w:rFonts w:asciiTheme="minorHAnsi" w:hAnsiTheme="minorHAnsi" w:cstheme="minorHAnsi"/>
          <w:sz w:val="22"/>
          <w:szCs w:val="22"/>
        </w:rPr>
      </w:pPr>
      <w:r w:rsidRPr="009D4E26">
        <w:rPr>
          <w:rFonts w:asciiTheme="minorHAnsi" w:hAnsiTheme="minorHAnsi" w:cstheme="minorHAnsi"/>
          <w:b/>
          <w:sz w:val="22"/>
          <w:szCs w:val="22"/>
        </w:rPr>
        <w:t xml:space="preserve">rozporządzenie o wdrażaniu LSR </w:t>
      </w:r>
      <w:r w:rsidRPr="009D4E26">
        <w:rPr>
          <w:rFonts w:asciiTheme="minorHAnsi" w:hAnsiTheme="minorHAnsi" w:cstheme="minorHAnsi"/>
          <w:sz w:val="22"/>
          <w:szCs w:val="22"/>
        </w:rPr>
        <w:t>- 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poz. 1570);</w:t>
      </w:r>
    </w:p>
    <w:p w14:paraId="16DB19B7" w14:textId="77777777" w:rsidR="00FD7CA6" w:rsidRPr="009D4E26" w:rsidRDefault="00FD7CA6" w:rsidP="009D4E26">
      <w:pPr>
        <w:numPr>
          <w:ilvl w:val="0"/>
          <w:numId w:val="14"/>
        </w:numPr>
        <w:jc w:val="both"/>
        <w:rPr>
          <w:rFonts w:asciiTheme="minorHAnsi" w:hAnsiTheme="minorHAnsi" w:cstheme="minorHAnsi"/>
          <w:b/>
          <w:sz w:val="22"/>
          <w:szCs w:val="22"/>
        </w:rPr>
      </w:pPr>
      <w:r w:rsidRPr="009D4E26">
        <w:rPr>
          <w:rFonts w:asciiTheme="minorHAnsi" w:hAnsiTheme="minorHAnsi" w:cstheme="minorHAnsi"/>
          <w:b/>
          <w:sz w:val="22"/>
          <w:szCs w:val="22"/>
        </w:rPr>
        <w:t xml:space="preserve">zarząd województwa </w:t>
      </w:r>
      <w:r w:rsidRPr="009D4E26">
        <w:rPr>
          <w:rFonts w:asciiTheme="minorHAnsi" w:hAnsiTheme="minorHAnsi" w:cstheme="minorHAnsi"/>
          <w:sz w:val="22"/>
          <w:szCs w:val="22"/>
        </w:rPr>
        <w:t xml:space="preserve">– Zarząd Województwa Dolnośląskiego, będący organem reprezentującym podmiot wdrażający właściwy do przyznawania pomocy w ramach działania „Wsparcie dla </w:t>
      </w:r>
      <w:r w:rsidRPr="009D4E26">
        <w:rPr>
          <w:rFonts w:asciiTheme="minorHAnsi" w:hAnsiTheme="minorHAnsi" w:cstheme="minorHAnsi"/>
          <w:sz w:val="22"/>
          <w:szCs w:val="22"/>
        </w:rPr>
        <w:lastRenderedPageBreak/>
        <w:t>rozwoju lokalnego w ramach inicjatywy LEADER" objętego programem współfinansowanym ze środków Europejskiego Funduszu Rolnego na rzecz Rozwoju Obszarów Wiejskich, zgodnie z art. 2 ust. 2 lit. b ustawy o RLKS;</w:t>
      </w:r>
    </w:p>
    <w:p w14:paraId="6E763ADF" w14:textId="77777777" w:rsidR="00FD7CA6" w:rsidRPr="009D4E26" w:rsidRDefault="00FD7CA6" w:rsidP="009D4E26">
      <w:pPr>
        <w:numPr>
          <w:ilvl w:val="0"/>
          <w:numId w:val="14"/>
        </w:numPr>
        <w:jc w:val="both"/>
        <w:rPr>
          <w:rFonts w:asciiTheme="minorHAnsi" w:hAnsiTheme="minorHAnsi" w:cstheme="minorHAnsi"/>
          <w:b/>
          <w:sz w:val="22"/>
          <w:szCs w:val="22"/>
        </w:rPr>
      </w:pPr>
      <w:r w:rsidRPr="009D4E26">
        <w:rPr>
          <w:rFonts w:asciiTheme="minorHAnsi" w:hAnsiTheme="minorHAnsi" w:cstheme="minorHAnsi"/>
          <w:b/>
          <w:sz w:val="22"/>
          <w:szCs w:val="22"/>
        </w:rPr>
        <w:t xml:space="preserve">projekt grantowy – </w:t>
      </w:r>
      <w:r w:rsidRPr="009D4E26">
        <w:rPr>
          <w:rFonts w:asciiTheme="minorHAnsi" w:hAnsiTheme="minorHAnsi" w:cstheme="minorHAnsi"/>
          <w:sz w:val="22"/>
          <w:szCs w:val="22"/>
        </w:rPr>
        <w:t>operacja, o której mowa w art. 14 ust. 5 ustawy o RLKS, realizowana przez LGD (beneficjenta projektu grantowego) w ramach wdrażania LSR i na podstawie umowy zawartej z Samorządem Województwa Dolnośląskiego, podczas której LGD przeprowadza konkurs na wybór grantobiorców, dokonuje wyboru zadań opisanych we wnioskach o powierzenie grantu, udziela grantów wybranym przez siebie grantobiorcom podpisując z nimi umowy o powierzeniu grantu, a następnie monitoruje ich wykonanie oraz dokonuje innych czynności mających na celu rozliczenie projektu grantowego wobec zarządu województwa;</w:t>
      </w:r>
    </w:p>
    <w:p w14:paraId="48BD8275" w14:textId="77777777" w:rsidR="00FD7CA6" w:rsidRPr="009D4E26" w:rsidRDefault="00FD7CA6" w:rsidP="009D4E26">
      <w:pPr>
        <w:numPr>
          <w:ilvl w:val="0"/>
          <w:numId w:val="14"/>
        </w:numPr>
        <w:jc w:val="both"/>
        <w:rPr>
          <w:rFonts w:asciiTheme="minorHAnsi" w:hAnsiTheme="minorHAnsi" w:cstheme="minorHAnsi"/>
          <w:b/>
          <w:sz w:val="22"/>
          <w:szCs w:val="22"/>
        </w:rPr>
      </w:pPr>
      <w:r w:rsidRPr="009D4E26">
        <w:rPr>
          <w:rFonts w:asciiTheme="minorHAnsi" w:hAnsiTheme="minorHAnsi" w:cstheme="minorHAnsi"/>
          <w:b/>
          <w:sz w:val="22"/>
          <w:szCs w:val="22"/>
        </w:rPr>
        <w:t>grantobiorca</w:t>
      </w:r>
      <w:r w:rsidRPr="009D4E26">
        <w:rPr>
          <w:rFonts w:asciiTheme="minorHAnsi" w:hAnsiTheme="minorHAnsi" w:cstheme="minorHAnsi"/>
          <w:sz w:val="22"/>
          <w:szCs w:val="22"/>
        </w:rPr>
        <w:t xml:space="preserve"> – podmiot, z którym LGD zawarła umowę o powierzenie grantu w związku z realizacją projektu grantowego;</w:t>
      </w:r>
    </w:p>
    <w:p w14:paraId="2942AFAD" w14:textId="77777777" w:rsidR="00FD7CA6" w:rsidRPr="009D4E26" w:rsidRDefault="00FD7CA6" w:rsidP="009D4E26">
      <w:pPr>
        <w:numPr>
          <w:ilvl w:val="0"/>
          <w:numId w:val="14"/>
        </w:numPr>
        <w:jc w:val="both"/>
        <w:rPr>
          <w:rFonts w:asciiTheme="minorHAnsi" w:hAnsiTheme="minorHAnsi" w:cstheme="minorHAnsi"/>
          <w:b/>
          <w:sz w:val="22"/>
          <w:szCs w:val="22"/>
        </w:rPr>
      </w:pPr>
      <w:r w:rsidRPr="009D4E26">
        <w:rPr>
          <w:rFonts w:asciiTheme="minorHAnsi" w:hAnsiTheme="minorHAnsi" w:cstheme="minorHAnsi"/>
          <w:b/>
          <w:sz w:val="22"/>
          <w:szCs w:val="22"/>
        </w:rPr>
        <w:t>grant</w:t>
      </w:r>
      <w:r w:rsidRPr="009D4E26">
        <w:rPr>
          <w:rFonts w:asciiTheme="minorHAnsi" w:hAnsiTheme="minorHAnsi" w:cstheme="minorHAnsi"/>
          <w:sz w:val="22"/>
          <w:szCs w:val="22"/>
        </w:rPr>
        <w:t xml:space="preserve"> - środki finansowe powierzone przez LGD grantobiorcy na realizację zadania służącego osiągnięciu celu projektu grantowego;</w:t>
      </w:r>
    </w:p>
    <w:p w14:paraId="7E5A4C45" w14:textId="77777777" w:rsidR="00FD7CA6" w:rsidRPr="009D4E26" w:rsidRDefault="00FD7CA6" w:rsidP="009D4E26">
      <w:pPr>
        <w:numPr>
          <w:ilvl w:val="0"/>
          <w:numId w:val="14"/>
        </w:numPr>
        <w:jc w:val="both"/>
        <w:rPr>
          <w:rFonts w:asciiTheme="minorHAnsi" w:hAnsiTheme="minorHAnsi" w:cstheme="minorHAnsi"/>
          <w:sz w:val="22"/>
          <w:szCs w:val="22"/>
        </w:rPr>
      </w:pPr>
      <w:r w:rsidRPr="009D4E26">
        <w:rPr>
          <w:rFonts w:asciiTheme="minorHAnsi" w:hAnsiTheme="minorHAnsi" w:cstheme="minorHAnsi"/>
          <w:b/>
          <w:sz w:val="22"/>
          <w:szCs w:val="22"/>
        </w:rPr>
        <w:t xml:space="preserve">zadanie – </w:t>
      </w:r>
      <w:r w:rsidRPr="009D4E26">
        <w:rPr>
          <w:rFonts w:asciiTheme="minorHAnsi" w:hAnsiTheme="minorHAnsi" w:cstheme="minorHAnsi"/>
          <w:sz w:val="22"/>
          <w:szCs w:val="22"/>
        </w:rPr>
        <w:t>czynności opisane we wniosku o przyznanie grantu, realizowane przez grantobiorcę w ramach projektu grantowego i na podstawie umowy o powierzeniu grantu zawartej z LGD;</w:t>
      </w:r>
    </w:p>
    <w:p w14:paraId="692CFDC2" w14:textId="77777777" w:rsidR="00494452" w:rsidRPr="009D4E26" w:rsidRDefault="00FD7CA6" w:rsidP="009D4E26">
      <w:pPr>
        <w:numPr>
          <w:ilvl w:val="0"/>
          <w:numId w:val="14"/>
        </w:numPr>
        <w:jc w:val="both"/>
        <w:rPr>
          <w:rFonts w:asciiTheme="minorHAnsi" w:hAnsiTheme="minorHAnsi" w:cstheme="minorHAnsi"/>
          <w:b/>
          <w:sz w:val="22"/>
          <w:szCs w:val="22"/>
        </w:rPr>
      </w:pPr>
      <w:r w:rsidRPr="009D4E26">
        <w:rPr>
          <w:rFonts w:asciiTheme="minorHAnsi" w:hAnsiTheme="minorHAnsi" w:cstheme="minorHAnsi"/>
          <w:b/>
          <w:sz w:val="22"/>
          <w:szCs w:val="22"/>
        </w:rPr>
        <w:t xml:space="preserve">nabór – </w:t>
      </w:r>
      <w:r w:rsidRPr="009D4E26">
        <w:rPr>
          <w:rFonts w:asciiTheme="minorHAnsi" w:hAnsiTheme="minorHAnsi" w:cstheme="minorHAnsi"/>
          <w:sz w:val="22"/>
          <w:szCs w:val="22"/>
        </w:rPr>
        <w:t>przeprowadzany przez LGD</w:t>
      </w:r>
      <w:r w:rsidRPr="009D4E26">
        <w:rPr>
          <w:rFonts w:asciiTheme="minorHAnsi" w:hAnsiTheme="minorHAnsi" w:cstheme="minorHAnsi"/>
          <w:b/>
          <w:sz w:val="22"/>
          <w:szCs w:val="22"/>
        </w:rPr>
        <w:t xml:space="preserve"> </w:t>
      </w:r>
      <w:r w:rsidRPr="009D4E26">
        <w:rPr>
          <w:rFonts w:asciiTheme="minorHAnsi" w:hAnsiTheme="minorHAnsi" w:cstheme="minorHAnsi"/>
          <w:sz w:val="22"/>
          <w:szCs w:val="22"/>
        </w:rPr>
        <w:t>konkurs na wybór grantobiorców.</w:t>
      </w:r>
      <w:bookmarkEnd w:id="2"/>
    </w:p>
    <w:p w14:paraId="41B9479D" w14:textId="77777777" w:rsidR="00D942DF" w:rsidRPr="009D4E26" w:rsidRDefault="00D942DF" w:rsidP="009D4E26">
      <w:pPr>
        <w:jc w:val="both"/>
        <w:rPr>
          <w:rFonts w:asciiTheme="minorHAnsi" w:hAnsiTheme="minorHAnsi" w:cstheme="minorHAnsi"/>
          <w:b/>
        </w:rPr>
      </w:pPr>
    </w:p>
    <w:p w14:paraId="7BFD2A5F" w14:textId="77777777" w:rsidR="00494452" w:rsidRPr="009D4E26" w:rsidRDefault="00494452" w:rsidP="009D4E26">
      <w:pPr>
        <w:jc w:val="both"/>
        <w:rPr>
          <w:rFonts w:asciiTheme="minorHAnsi" w:hAnsiTheme="minorHAnsi" w:cstheme="minorHAnsi"/>
          <w:b/>
        </w:rPr>
      </w:pPr>
      <w:r w:rsidRPr="009D4E26">
        <w:rPr>
          <w:rFonts w:asciiTheme="minorHAnsi" w:hAnsiTheme="minorHAnsi" w:cstheme="minorHAnsi"/>
          <w:b/>
        </w:rPr>
        <w:t>Załączniki :</w:t>
      </w:r>
    </w:p>
    <w:p w14:paraId="3A4F84A2" w14:textId="75EB7D8B" w:rsidR="00D942DF" w:rsidRPr="009D4E26" w:rsidRDefault="00D942DF" w:rsidP="009D4E26">
      <w:pPr>
        <w:jc w:val="both"/>
        <w:rPr>
          <w:rFonts w:asciiTheme="minorHAnsi" w:hAnsiTheme="minorHAnsi" w:cs="Calibri"/>
          <w:sz w:val="22"/>
          <w:szCs w:val="22"/>
          <w:lang w:eastAsia="ar-SA"/>
        </w:rPr>
      </w:pPr>
      <w:r w:rsidRPr="009D4E26">
        <w:rPr>
          <w:rFonts w:asciiTheme="minorHAnsi" w:hAnsiTheme="minorHAnsi" w:cs="Calibri"/>
          <w:sz w:val="22"/>
          <w:szCs w:val="22"/>
          <w:lang w:eastAsia="ar-SA"/>
        </w:rPr>
        <w:t xml:space="preserve">Załącznik nr 1 - </w:t>
      </w:r>
      <w:r w:rsidR="005A5B65" w:rsidRPr="009D4E26">
        <w:rPr>
          <w:rFonts w:asciiTheme="minorHAnsi" w:hAnsiTheme="minorHAnsi" w:cs="Calibri"/>
          <w:sz w:val="22"/>
          <w:szCs w:val="22"/>
          <w:lang w:eastAsia="ar-SA"/>
        </w:rPr>
        <w:t>Karta weryfikacji wstępnej wniosku o powierzenie grantu</w:t>
      </w:r>
    </w:p>
    <w:p w14:paraId="17A01A17" w14:textId="77777777" w:rsidR="00D942DF" w:rsidRPr="009D4E26" w:rsidRDefault="00D942DF" w:rsidP="009D4E26">
      <w:pPr>
        <w:jc w:val="both"/>
        <w:rPr>
          <w:rFonts w:asciiTheme="minorHAnsi" w:hAnsiTheme="minorHAnsi" w:cs="Calibri"/>
          <w:sz w:val="22"/>
          <w:szCs w:val="22"/>
          <w:lang w:eastAsia="ar-SA"/>
        </w:rPr>
      </w:pPr>
      <w:r w:rsidRPr="009D4E26">
        <w:rPr>
          <w:rFonts w:asciiTheme="minorHAnsi" w:hAnsiTheme="minorHAnsi" w:cs="Calibri"/>
          <w:sz w:val="22"/>
          <w:szCs w:val="22"/>
          <w:lang w:eastAsia="ar-SA"/>
        </w:rPr>
        <w:t>Załącznik nr 2 - Weryfikacja zgodności operacji z warunkami przyznania pomocy określonymi w Programie Rozwoju Obszarów Wiejskich na lata 2014 - 2010</w:t>
      </w:r>
    </w:p>
    <w:p w14:paraId="741592A9" w14:textId="7A525FCA" w:rsidR="00D942DF" w:rsidRPr="009D4E26" w:rsidRDefault="00DB1992" w:rsidP="009D4E26">
      <w:pPr>
        <w:jc w:val="both"/>
        <w:rPr>
          <w:rFonts w:asciiTheme="minorHAnsi" w:hAnsiTheme="minorHAnsi" w:cs="Calibri"/>
          <w:sz w:val="22"/>
          <w:szCs w:val="22"/>
          <w:lang w:eastAsia="ar-SA"/>
        </w:rPr>
      </w:pPr>
      <w:r>
        <w:rPr>
          <w:rFonts w:asciiTheme="minorHAnsi" w:hAnsiTheme="minorHAnsi" w:cs="Calibri"/>
          <w:sz w:val="22"/>
          <w:szCs w:val="22"/>
          <w:lang w:eastAsia="ar-SA"/>
        </w:rPr>
        <w:t xml:space="preserve">Załącznik nr 3 </w:t>
      </w:r>
      <w:r w:rsidR="00B00DE5" w:rsidRPr="009D4E26">
        <w:rPr>
          <w:rFonts w:asciiTheme="minorHAnsi" w:hAnsiTheme="minorHAnsi" w:cs="Calibri"/>
          <w:strike/>
          <w:sz w:val="22"/>
          <w:szCs w:val="22"/>
          <w:lang w:eastAsia="ar-SA"/>
        </w:rPr>
        <w:t xml:space="preserve"> </w:t>
      </w:r>
      <w:r>
        <w:rPr>
          <w:rFonts w:asciiTheme="minorHAnsi" w:hAnsiTheme="minorHAnsi" w:cs="Calibri"/>
          <w:strike/>
          <w:sz w:val="22"/>
          <w:szCs w:val="22"/>
          <w:lang w:eastAsia="ar-SA"/>
        </w:rPr>
        <w:t xml:space="preserve"> </w:t>
      </w:r>
      <w:r w:rsidR="00B00DE5" w:rsidRPr="009D4E26">
        <w:rPr>
          <w:rFonts w:asciiTheme="minorHAnsi" w:hAnsiTheme="minorHAnsi" w:cs="Calibri"/>
          <w:sz w:val="22"/>
          <w:szCs w:val="22"/>
          <w:lang w:eastAsia="ar-SA"/>
        </w:rPr>
        <w:t>Karta oceny zgodności z LSR</w:t>
      </w:r>
    </w:p>
    <w:p w14:paraId="7AA840F9" w14:textId="77777777" w:rsidR="00494452" w:rsidRPr="009D4E26" w:rsidRDefault="00D942DF" w:rsidP="009D4E26">
      <w:pPr>
        <w:jc w:val="both"/>
        <w:rPr>
          <w:rFonts w:asciiTheme="minorHAnsi" w:hAnsiTheme="minorHAnsi" w:cs="Calibri"/>
          <w:sz w:val="22"/>
          <w:szCs w:val="22"/>
          <w:lang w:eastAsia="ar-SA"/>
        </w:rPr>
      </w:pPr>
      <w:r w:rsidRPr="009D4E26">
        <w:rPr>
          <w:rFonts w:asciiTheme="minorHAnsi" w:hAnsiTheme="minorHAnsi" w:cs="Calibri"/>
          <w:sz w:val="22"/>
          <w:szCs w:val="22"/>
          <w:lang w:eastAsia="ar-SA"/>
        </w:rPr>
        <w:t>Załącznik nr 4a</w:t>
      </w:r>
      <w:r w:rsidR="00796058" w:rsidRPr="009D4E26">
        <w:rPr>
          <w:rFonts w:asciiTheme="minorHAnsi" w:hAnsiTheme="minorHAnsi" w:cs="Calibri"/>
          <w:sz w:val="22"/>
          <w:szCs w:val="22"/>
          <w:lang w:eastAsia="ar-SA"/>
        </w:rPr>
        <w:t xml:space="preserve"> - Kryteria wyboru projektów grantowych  LGD  Kwiat Lnu  w ramach realizacji LSR 2014-2020 - działania inwestycyjne</w:t>
      </w:r>
    </w:p>
    <w:p w14:paraId="23D179BC" w14:textId="77777777" w:rsidR="00796058" w:rsidRPr="009D4E26" w:rsidRDefault="00D942DF" w:rsidP="009D4E26">
      <w:pPr>
        <w:jc w:val="both"/>
        <w:rPr>
          <w:rFonts w:asciiTheme="minorHAnsi" w:hAnsiTheme="minorHAnsi" w:cstheme="minorHAnsi"/>
        </w:rPr>
      </w:pPr>
      <w:r w:rsidRPr="009D4E26">
        <w:rPr>
          <w:rFonts w:asciiTheme="minorHAnsi" w:hAnsiTheme="minorHAnsi" w:cs="Calibri"/>
          <w:sz w:val="22"/>
          <w:szCs w:val="22"/>
          <w:lang w:eastAsia="ar-SA"/>
        </w:rPr>
        <w:t>Załącznik nr 4b</w:t>
      </w:r>
      <w:r w:rsidR="00796058" w:rsidRPr="009D4E26">
        <w:rPr>
          <w:rFonts w:asciiTheme="minorHAnsi" w:hAnsiTheme="minorHAnsi" w:cs="Calibri"/>
          <w:sz w:val="22"/>
          <w:szCs w:val="22"/>
          <w:lang w:eastAsia="ar-SA"/>
        </w:rPr>
        <w:t xml:space="preserve"> - Kryteria wyboru projektów grantowych  LGD  Kwiat Lnu  w ramach realizacji LSR 2014-2020 - działania nieinwestycyjne</w:t>
      </w:r>
    </w:p>
    <w:p w14:paraId="3637DCB7" w14:textId="77777777" w:rsidR="00796058" w:rsidRPr="009D4E26" w:rsidRDefault="00796058" w:rsidP="009D4E26">
      <w:pPr>
        <w:jc w:val="both"/>
        <w:rPr>
          <w:rFonts w:asciiTheme="minorHAnsi" w:hAnsiTheme="minorHAnsi" w:cstheme="minorHAnsi"/>
          <w:color w:val="FF0000"/>
        </w:rPr>
      </w:pPr>
    </w:p>
    <w:sectPr w:rsidR="00796058" w:rsidRPr="009D4E26" w:rsidSect="00CC49AC">
      <w:headerReference w:type="default" r:id="rId16"/>
      <w:pgSz w:w="11906" w:h="16838"/>
      <w:pgMar w:top="851" w:right="1274" w:bottom="709" w:left="1134"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4037131" w15:done="0"/>
  <w15:commentEx w15:paraId="331A38F2" w15:done="0"/>
  <w15:commentEx w15:paraId="10077515" w15:done="0"/>
  <w15:commentEx w15:paraId="09235FF4" w15:done="0"/>
  <w15:commentEx w15:paraId="2D24C565" w15:done="0"/>
  <w15:commentEx w15:paraId="76B57E8B" w15:done="0"/>
  <w15:commentEx w15:paraId="2BC485F2" w15:done="0"/>
  <w15:commentEx w15:paraId="2D535AA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E61659" w14:textId="77777777" w:rsidR="00E57815" w:rsidRDefault="00E57815" w:rsidP="008D075D">
      <w:r>
        <w:separator/>
      </w:r>
    </w:p>
  </w:endnote>
  <w:endnote w:type="continuationSeparator" w:id="0">
    <w:p w14:paraId="729FD913" w14:textId="77777777" w:rsidR="00E57815" w:rsidRDefault="00E57815" w:rsidP="008D0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018F34" w14:textId="77777777" w:rsidR="00E57815" w:rsidRDefault="00E57815" w:rsidP="008D075D">
      <w:r>
        <w:separator/>
      </w:r>
    </w:p>
  </w:footnote>
  <w:footnote w:type="continuationSeparator" w:id="0">
    <w:p w14:paraId="66ECD3B6" w14:textId="77777777" w:rsidR="00E57815" w:rsidRDefault="00E57815" w:rsidP="008D07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0A0F2" w14:textId="77777777" w:rsidR="00EE22F2" w:rsidRDefault="00EE22F2" w:rsidP="008D075D">
    <w:pPr>
      <w:pStyle w:val="Nagwek"/>
      <w:jc w:val="center"/>
    </w:pPr>
    <w:r>
      <w:t xml:space="preserve"> </w:t>
    </w:r>
  </w:p>
  <w:p w14:paraId="53AB155E" w14:textId="77777777" w:rsidR="00EE22F2" w:rsidRDefault="00EE22F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5BD6"/>
    <w:multiLevelType w:val="hybridMultilevel"/>
    <w:tmpl w:val="A720006E"/>
    <w:lvl w:ilvl="0" w:tplc="ECB68CA8">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nsid w:val="03F3415B"/>
    <w:multiLevelType w:val="hybridMultilevel"/>
    <w:tmpl w:val="234A1CE4"/>
    <w:lvl w:ilvl="0" w:tplc="04150011">
      <w:start w:val="1"/>
      <w:numFmt w:val="decimal"/>
      <w:lvlText w:val="%1)"/>
      <w:lvlJc w:val="left"/>
      <w:pPr>
        <w:ind w:left="1430" w:hanging="360"/>
      </w:p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
    <w:nsid w:val="078C2784"/>
    <w:multiLevelType w:val="hybridMultilevel"/>
    <w:tmpl w:val="B1080368"/>
    <w:lvl w:ilvl="0" w:tplc="1016719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4D7CA2"/>
    <w:multiLevelType w:val="hybridMultilevel"/>
    <w:tmpl w:val="433EF800"/>
    <w:lvl w:ilvl="0" w:tplc="2E1656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C5F2AB2"/>
    <w:multiLevelType w:val="hybridMultilevel"/>
    <w:tmpl w:val="54362914"/>
    <w:lvl w:ilvl="0" w:tplc="9F9EFAEA">
      <w:start w:val="1"/>
      <w:numFmt w:val="upperRoman"/>
      <w:lvlText w:val="%1."/>
      <w:lvlJc w:val="left"/>
      <w:pPr>
        <w:ind w:left="720" w:hanging="360"/>
      </w:pPr>
      <w:rPr>
        <w:rFonts w:ascii="Calibri" w:eastAsia="Times New Roman" w:hAnsi="Calibri" w:cs="Calibri"/>
      </w:rPr>
    </w:lvl>
    <w:lvl w:ilvl="1" w:tplc="71FEA166">
      <w:start w:val="1"/>
      <w:numFmt w:val="decimal"/>
      <w:lvlText w:val="%2."/>
      <w:lvlJc w:val="left"/>
      <w:pPr>
        <w:ind w:left="1440" w:hanging="360"/>
      </w:pPr>
      <w:rPr>
        <w:rFonts w:ascii="Times New Roman" w:eastAsia="Times New Roman" w:hAnsi="Times New Roman" w:cs="Times New Roman"/>
      </w:rPr>
    </w:lvl>
    <w:lvl w:ilvl="2" w:tplc="6146122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77749F5"/>
    <w:multiLevelType w:val="hybridMultilevel"/>
    <w:tmpl w:val="1876B954"/>
    <w:lvl w:ilvl="0" w:tplc="53E259D4">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0032274"/>
    <w:multiLevelType w:val="hybridMultilevel"/>
    <w:tmpl w:val="704C9B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B8F662D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19B52C7"/>
    <w:multiLevelType w:val="hybridMultilevel"/>
    <w:tmpl w:val="A3FA4024"/>
    <w:lvl w:ilvl="0" w:tplc="0415000F">
      <w:start w:val="1"/>
      <w:numFmt w:val="decimal"/>
      <w:lvlText w:val="%1."/>
      <w:lvlJc w:val="left"/>
      <w:pPr>
        <w:ind w:left="720" w:hanging="360"/>
      </w:pPr>
    </w:lvl>
    <w:lvl w:ilvl="1" w:tplc="04150017">
      <w:start w:val="1"/>
      <w:numFmt w:val="lowerLetter"/>
      <w:lvlText w:val="%2)"/>
      <w:lvlJc w:val="left"/>
      <w:pPr>
        <w:ind w:left="1495" w:hanging="360"/>
      </w:pPr>
      <w:rPr>
        <w:rFonts w:hint="default"/>
      </w:rPr>
    </w:lvl>
    <w:lvl w:ilvl="2" w:tplc="04150001">
      <w:start w:val="1"/>
      <w:numFmt w:val="bullet"/>
      <w:lvlText w:val=""/>
      <w:lvlJc w:val="left"/>
      <w:pPr>
        <w:ind w:left="1315" w:hanging="180"/>
      </w:pPr>
      <w:rPr>
        <w:rFonts w:ascii="Symbol" w:hAnsi="Symbol" w:hint="default"/>
      </w:rPr>
    </w:lvl>
    <w:lvl w:ilvl="3" w:tplc="0C9041E4">
      <w:start w:val="1"/>
      <w:numFmt w:val="decimal"/>
      <w:lvlText w:val="%4)"/>
      <w:lvlJc w:val="left"/>
      <w:pPr>
        <w:ind w:left="107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4FB50AB"/>
    <w:multiLevelType w:val="multilevel"/>
    <w:tmpl w:val="EF285350"/>
    <w:lvl w:ilvl="0">
      <w:start w:val="1"/>
      <w:numFmt w:val="decimal"/>
      <w:lvlText w:val="%1."/>
      <w:lvlJc w:val="left"/>
      <w:pPr>
        <w:tabs>
          <w:tab w:val="num" w:pos="644"/>
        </w:tabs>
        <w:ind w:left="644" w:hanging="360"/>
      </w:pPr>
      <w:rPr>
        <w:rFonts w:ascii="Times New Roman" w:eastAsia="SimSun" w:hAnsi="Times New Roman" w:cs="Times New Roman"/>
      </w:r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9">
    <w:nsid w:val="3A226A1C"/>
    <w:multiLevelType w:val="multilevel"/>
    <w:tmpl w:val="B2643F4A"/>
    <w:lvl w:ilvl="0">
      <w:start w:val="1"/>
      <w:numFmt w:val="decimal"/>
      <w:lvlText w:val="%1."/>
      <w:lvlJc w:val="left"/>
      <w:pPr>
        <w:tabs>
          <w:tab w:val="num" w:pos="644"/>
        </w:tabs>
        <w:ind w:left="644" w:hanging="360"/>
      </w:pPr>
      <w:rPr>
        <w:rFonts w:ascii="Times New Roman" w:eastAsia="SimSun" w:hAnsi="Times New Roman" w:cs="Times New Roman" w:hint="default"/>
      </w:rPr>
    </w:lvl>
    <w:lvl w:ilvl="1">
      <w:start w:val="1"/>
      <w:numFmt w:val="decimal"/>
      <w:lvlText w:val="%2."/>
      <w:lvlJc w:val="left"/>
      <w:pPr>
        <w:tabs>
          <w:tab w:val="num" w:pos="1004"/>
        </w:tabs>
        <w:ind w:left="1004" w:hanging="360"/>
      </w:pPr>
      <w:rPr>
        <w:rFonts w:hint="default"/>
      </w:rPr>
    </w:lvl>
    <w:lvl w:ilvl="2">
      <w:start w:val="5"/>
      <w:numFmt w:val="decimal"/>
      <w:lvlText w:val="%3."/>
      <w:lvlJc w:val="left"/>
      <w:pPr>
        <w:tabs>
          <w:tab w:val="num" w:pos="1364"/>
        </w:tabs>
        <w:ind w:left="1364" w:hanging="360"/>
      </w:pPr>
      <w:rPr>
        <w:rFonts w:hint="default"/>
      </w:rPr>
    </w:lvl>
    <w:lvl w:ilvl="3">
      <w:start w:val="7"/>
      <w:numFmt w:val="decimal"/>
      <w:lvlText w:val="%4."/>
      <w:lvlJc w:val="left"/>
      <w:pPr>
        <w:tabs>
          <w:tab w:val="num" w:pos="1724"/>
        </w:tabs>
        <w:ind w:left="1724" w:hanging="360"/>
      </w:pPr>
      <w:rPr>
        <w:rFonts w:hint="default"/>
      </w:rPr>
    </w:lvl>
    <w:lvl w:ilvl="4">
      <w:start w:val="1"/>
      <w:numFmt w:val="decimal"/>
      <w:lvlText w:val="%5."/>
      <w:lvlJc w:val="left"/>
      <w:pPr>
        <w:tabs>
          <w:tab w:val="num" w:pos="2084"/>
        </w:tabs>
        <w:ind w:left="2084" w:hanging="360"/>
      </w:pPr>
      <w:rPr>
        <w:rFonts w:hint="default"/>
      </w:rPr>
    </w:lvl>
    <w:lvl w:ilvl="5">
      <w:start w:val="1"/>
      <w:numFmt w:val="decimal"/>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decimal"/>
      <w:lvlText w:val="%8."/>
      <w:lvlJc w:val="left"/>
      <w:pPr>
        <w:tabs>
          <w:tab w:val="num" w:pos="3164"/>
        </w:tabs>
        <w:ind w:left="3164" w:hanging="360"/>
      </w:pPr>
      <w:rPr>
        <w:rFonts w:hint="default"/>
      </w:rPr>
    </w:lvl>
    <w:lvl w:ilvl="8">
      <w:start w:val="1"/>
      <w:numFmt w:val="decimal"/>
      <w:lvlText w:val="%9."/>
      <w:lvlJc w:val="left"/>
      <w:pPr>
        <w:tabs>
          <w:tab w:val="num" w:pos="3524"/>
        </w:tabs>
        <w:ind w:left="3524" w:hanging="360"/>
      </w:pPr>
      <w:rPr>
        <w:rFonts w:hint="default"/>
      </w:rPr>
    </w:lvl>
  </w:abstractNum>
  <w:abstractNum w:abstractNumId="10">
    <w:nsid w:val="3DF06122"/>
    <w:multiLevelType w:val="multilevel"/>
    <w:tmpl w:val="EFDEDD28"/>
    <w:lvl w:ilvl="0">
      <w:start w:val="1"/>
      <w:numFmt w:val="decimal"/>
      <w:lvlText w:val="%1."/>
      <w:lvlJc w:val="left"/>
      <w:pPr>
        <w:tabs>
          <w:tab w:val="num" w:pos="644"/>
        </w:tabs>
        <w:ind w:left="644" w:hanging="360"/>
      </w:pPr>
      <w:rPr>
        <w:rFonts w:ascii="Times New Roman" w:eastAsia="SimSun" w:hAnsi="Times New Roman" w:cs="Times New Roman" w:hint="default"/>
      </w:rPr>
    </w:lvl>
    <w:lvl w:ilvl="1">
      <w:start w:val="1"/>
      <w:numFmt w:val="decimal"/>
      <w:lvlText w:val="%2."/>
      <w:lvlJc w:val="left"/>
      <w:pPr>
        <w:tabs>
          <w:tab w:val="num" w:pos="1004"/>
        </w:tabs>
        <w:ind w:left="1004" w:hanging="360"/>
      </w:pPr>
      <w:rPr>
        <w:rFonts w:hint="default"/>
      </w:rPr>
    </w:lvl>
    <w:lvl w:ilvl="2">
      <w:start w:val="1"/>
      <w:numFmt w:val="decimal"/>
      <w:lvlText w:val="%3."/>
      <w:lvlJc w:val="left"/>
      <w:pPr>
        <w:tabs>
          <w:tab w:val="num" w:pos="1364"/>
        </w:tabs>
        <w:ind w:left="1364" w:hanging="360"/>
      </w:pPr>
      <w:rPr>
        <w:rFonts w:hint="default"/>
      </w:rPr>
    </w:lvl>
    <w:lvl w:ilvl="3">
      <w:start w:val="5"/>
      <w:numFmt w:val="decimal"/>
      <w:lvlText w:val="%4."/>
      <w:lvlJc w:val="left"/>
      <w:pPr>
        <w:tabs>
          <w:tab w:val="num" w:pos="1724"/>
        </w:tabs>
        <w:ind w:left="1724" w:hanging="360"/>
      </w:pPr>
      <w:rPr>
        <w:rFonts w:hint="default"/>
        <w:i w:val="0"/>
        <w:color w:val="auto"/>
      </w:rPr>
    </w:lvl>
    <w:lvl w:ilvl="4">
      <w:start w:val="1"/>
      <w:numFmt w:val="decimal"/>
      <w:lvlText w:val="%5."/>
      <w:lvlJc w:val="left"/>
      <w:pPr>
        <w:tabs>
          <w:tab w:val="num" w:pos="2084"/>
        </w:tabs>
        <w:ind w:left="2084" w:hanging="360"/>
      </w:pPr>
      <w:rPr>
        <w:rFonts w:hint="default"/>
      </w:rPr>
    </w:lvl>
    <w:lvl w:ilvl="5">
      <w:start w:val="1"/>
      <w:numFmt w:val="decimal"/>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decimal"/>
      <w:lvlText w:val="%8."/>
      <w:lvlJc w:val="left"/>
      <w:pPr>
        <w:tabs>
          <w:tab w:val="num" w:pos="3164"/>
        </w:tabs>
        <w:ind w:left="3164" w:hanging="360"/>
      </w:pPr>
      <w:rPr>
        <w:rFonts w:hint="default"/>
      </w:rPr>
    </w:lvl>
    <w:lvl w:ilvl="8">
      <w:start w:val="1"/>
      <w:numFmt w:val="decimal"/>
      <w:lvlText w:val="%9."/>
      <w:lvlJc w:val="left"/>
      <w:pPr>
        <w:tabs>
          <w:tab w:val="num" w:pos="3524"/>
        </w:tabs>
        <w:ind w:left="3524" w:hanging="360"/>
      </w:pPr>
      <w:rPr>
        <w:rFonts w:hint="default"/>
      </w:rPr>
    </w:lvl>
  </w:abstractNum>
  <w:abstractNum w:abstractNumId="11">
    <w:nsid w:val="43711014"/>
    <w:multiLevelType w:val="hybridMultilevel"/>
    <w:tmpl w:val="EDF6BAC6"/>
    <w:lvl w:ilvl="0" w:tplc="3746D444">
      <w:start w:val="1"/>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44FF3392"/>
    <w:multiLevelType w:val="hybridMultilevel"/>
    <w:tmpl w:val="3BAA6B16"/>
    <w:lvl w:ilvl="0" w:tplc="04150017">
      <w:start w:val="1"/>
      <w:numFmt w:val="lowerLetter"/>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3">
    <w:nsid w:val="478C7A13"/>
    <w:multiLevelType w:val="hybridMultilevel"/>
    <w:tmpl w:val="79A6630A"/>
    <w:lvl w:ilvl="0" w:tplc="209EA6F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B152DB1"/>
    <w:multiLevelType w:val="hybridMultilevel"/>
    <w:tmpl w:val="2312E5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0E52ED7"/>
    <w:multiLevelType w:val="hybridMultilevel"/>
    <w:tmpl w:val="B1744782"/>
    <w:lvl w:ilvl="0" w:tplc="A568FF98">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7D4187E"/>
    <w:multiLevelType w:val="hybridMultilevel"/>
    <w:tmpl w:val="30267CAA"/>
    <w:lvl w:ilvl="0" w:tplc="C3C8777C">
      <w:start w:val="1"/>
      <w:numFmt w:val="upperRoman"/>
      <w:lvlText w:val="%1."/>
      <w:lvlJc w:val="left"/>
      <w:pPr>
        <w:ind w:left="2520" w:hanging="72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7">
    <w:nsid w:val="651B08BA"/>
    <w:multiLevelType w:val="multilevel"/>
    <w:tmpl w:val="000000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689C6D9C"/>
    <w:multiLevelType w:val="hybridMultilevel"/>
    <w:tmpl w:val="0A581E42"/>
    <w:lvl w:ilvl="0" w:tplc="38DE2BB4">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690359F7"/>
    <w:multiLevelType w:val="hybridMultilevel"/>
    <w:tmpl w:val="2970258E"/>
    <w:lvl w:ilvl="0" w:tplc="361E7F4A">
      <w:start w:val="1"/>
      <w:numFmt w:val="upperRoman"/>
      <w:lvlText w:val="%1."/>
      <w:lvlJc w:val="left"/>
      <w:pPr>
        <w:ind w:left="72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A853829"/>
    <w:multiLevelType w:val="hybridMultilevel"/>
    <w:tmpl w:val="2960C1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CE7399C"/>
    <w:multiLevelType w:val="hybridMultilevel"/>
    <w:tmpl w:val="5C1C1654"/>
    <w:lvl w:ilvl="0" w:tplc="D8C0CA7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D8962C4"/>
    <w:multiLevelType w:val="hybridMultilevel"/>
    <w:tmpl w:val="79E48E44"/>
    <w:lvl w:ilvl="0" w:tplc="2E16564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3">
    <w:nsid w:val="70745CBE"/>
    <w:multiLevelType w:val="hybridMultilevel"/>
    <w:tmpl w:val="35F4210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28764A0"/>
    <w:multiLevelType w:val="hybridMultilevel"/>
    <w:tmpl w:val="E546574A"/>
    <w:lvl w:ilvl="0" w:tplc="96D26E82">
      <w:start w:val="1"/>
      <w:numFmt w:val="decimal"/>
      <w:lvlText w:val="%1."/>
      <w:lvlJc w:val="left"/>
      <w:pPr>
        <w:ind w:left="720" w:hanging="360"/>
      </w:pPr>
      <w:rPr>
        <w:rFonts w:hint="default"/>
        <w:color w:val="8064A2" w:themeColor="accent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2A9197B"/>
    <w:multiLevelType w:val="hybridMultilevel"/>
    <w:tmpl w:val="3F3C30B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797B3D15"/>
    <w:multiLevelType w:val="hybridMultilevel"/>
    <w:tmpl w:val="A720006E"/>
    <w:lvl w:ilvl="0" w:tplc="ECB68CA8">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2"/>
  </w:num>
  <w:num w:numId="2">
    <w:abstractNumId w:val="4"/>
  </w:num>
  <w:num w:numId="3">
    <w:abstractNumId w:val="14"/>
  </w:num>
  <w:num w:numId="4">
    <w:abstractNumId w:val="20"/>
  </w:num>
  <w:num w:numId="5">
    <w:abstractNumId w:val="8"/>
  </w:num>
  <w:num w:numId="6">
    <w:abstractNumId w:val="5"/>
  </w:num>
  <w:num w:numId="7">
    <w:abstractNumId w:val="6"/>
  </w:num>
  <w:num w:numId="8">
    <w:abstractNumId w:val="24"/>
  </w:num>
  <w:num w:numId="9">
    <w:abstractNumId w:val="18"/>
  </w:num>
  <w:num w:numId="10">
    <w:abstractNumId w:val="26"/>
  </w:num>
  <w:num w:numId="11">
    <w:abstractNumId w:val="22"/>
  </w:num>
  <w:num w:numId="12">
    <w:abstractNumId w:val="25"/>
  </w:num>
  <w:num w:numId="13">
    <w:abstractNumId w:val="3"/>
  </w:num>
  <w:num w:numId="14">
    <w:abstractNumId w:val="15"/>
  </w:num>
  <w:num w:numId="15">
    <w:abstractNumId w:val="19"/>
  </w:num>
  <w:num w:numId="16">
    <w:abstractNumId w:val="13"/>
  </w:num>
  <w:num w:numId="17">
    <w:abstractNumId w:val="11"/>
  </w:num>
  <w:num w:numId="18">
    <w:abstractNumId w:val="16"/>
  </w:num>
  <w:num w:numId="19">
    <w:abstractNumId w:val="0"/>
  </w:num>
  <w:num w:numId="20">
    <w:abstractNumId w:val="7"/>
  </w:num>
  <w:num w:numId="21">
    <w:abstractNumId w:val="1"/>
  </w:num>
  <w:num w:numId="22">
    <w:abstractNumId w:val="23"/>
  </w:num>
  <w:num w:numId="23">
    <w:abstractNumId w:val="12"/>
  </w:num>
  <w:num w:numId="24">
    <w:abstractNumId w:val="21"/>
  </w:num>
  <w:num w:numId="25">
    <w:abstractNumId w:val="10"/>
  </w:num>
  <w:num w:numId="26">
    <w:abstractNumId w:val="9"/>
  </w:num>
  <w:num w:numId="27">
    <w:abstractNumId w:val="17"/>
  </w:num>
  <w:numIdMacAtCleanup w:val="1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ożena Pełdiak">
    <w15:presenceInfo w15:providerId="Windows Live" w15:userId="c144df4931377e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75D"/>
    <w:rsid w:val="0000277E"/>
    <w:rsid w:val="0001226C"/>
    <w:rsid w:val="00012863"/>
    <w:rsid w:val="00014C6C"/>
    <w:rsid w:val="00020BAF"/>
    <w:rsid w:val="0002777A"/>
    <w:rsid w:val="00032EF7"/>
    <w:rsid w:val="00033B83"/>
    <w:rsid w:val="00046358"/>
    <w:rsid w:val="00054FC3"/>
    <w:rsid w:val="00064C58"/>
    <w:rsid w:val="00083434"/>
    <w:rsid w:val="0008368A"/>
    <w:rsid w:val="00087BAE"/>
    <w:rsid w:val="00092CA6"/>
    <w:rsid w:val="000B5BD4"/>
    <w:rsid w:val="000B6283"/>
    <w:rsid w:val="000C146F"/>
    <w:rsid w:val="000C3267"/>
    <w:rsid w:val="000C46F8"/>
    <w:rsid w:val="000D65EC"/>
    <w:rsid w:val="000D6E06"/>
    <w:rsid w:val="000E3C5A"/>
    <w:rsid w:val="000E6754"/>
    <w:rsid w:val="000E6EB8"/>
    <w:rsid w:val="000F1F06"/>
    <w:rsid w:val="000F4D07"/>
    <w:rsid w:val="00102DE4"/>
    <w:rsid w:val="00122284"/>
    <w:rsid w:val="00125CBC"/>
    <w:rsid w:val="001260F0"/>
    <w:rsid w:val="001349D2"/>
    <w:rsid w:val="00147B7E"/>
    <w:rsid w:val="001527F1"/>
    <w:rsid w:val="00152C20"/>
    <w:rsid w:val="00160F8C"/>
    <w:rsid w:val="00167A24"/>
    <w:rsid w:val="00176F50"/>
    <w:rsid w:val="00180A81"/>
    <w:rsid w:val="00184F9D"/>
    <w:rsid w:val="001853CE"/>
    <w:rsid w:val="00186840"/>
    <w:rsid w:val="0018768F"/>
    <w:rsid w:val="00195F3A"/>
    <w:rsid w:val="00196FFD"/>
    <w:rsid w:val="001A1271"/>
    <w:rsid w:val="001A5674"/>
    <w:rsid w:val="001B20FA"/>
    <w:rsid w:val="001B5065"/>
    <w:rsid w:val="001D628E"/>
    <w:rsid w:val="001F5802"/>
    <w:rsid w:val="002035D1"/>
    <w:rsid w:val="00203F37"/>
    <w:rsid w:val="00211EC9"/>
    <w:rsid w:val="002205A2"/>
    <w:rsid w:val="00222826"/>
    <w:rsid w:val="0022649D"/>
    <w:rsid w:val="0022672F"/>
    <w:rsid w:val="00230B09"/>
    <w:rsid w:val="002363F6"/>
    <w:rsid w:val="002407DF"/>
    <w:rsid w:val="00251D9E"/>
    <w:rsid w:val="00262F29"/>
    <w:rsid w:val="00285B90"/>
    <w:rsid w:val="00291FEB"/>
    <w:rsid w:val="00292BA9"/>
    <w:rsid w:val="00294753"/>
    <w:rsid w:val="00295E98"/>
    <w:rsid w:val="002A54BD"/>
    <w:rsid w:val="002B2404"/>
    <w:rsid w:val="002D32AE"/>
    <w:rsid w:val="002D4A15"/>
    <w:rsid w:val="002F5575"/>
    <w:rsid w:val="00317325"/>
    <w:rsid w:val="00321A16"/>
    <w:rsid w:val="00325C6F"/>
    <w:rsid w:val="003467E9"/>
    <w:rsid w:val="00347B12"/>
    <w:rsid w:val="003665BB"/>
    <w:rsid w:val="00366A99"/>
    <w:rsid w:val="00367B46"/>
    <w:rsid w:val="0037158E"/>
    <w:rsid w:val="003763E3"/>
    <w:rsid w:val="00383E00"/>
    <w:rsid w:val="00387062"/>
    <w:rsid w:val="00387FAE"/>
    <w:rsid w:val="00391B42"/>
    <w:rsid w:val="00395F83"/>
    <w:rsid w:val="003B0E9E"/>
    <w:rsid w:val="003B3CA1"/>
    <w:rsid w:val="003C4285"/>
    <w:rsid w:val="003D5B75"/>
    <w:rsid w:val="003D683D"/>
    <w:rsid w:val="003F07F3"/>
    <w:rsid w:val="00402A7D"/>
    <w:rsid w:val="0040313A"/>
    <w:rsid w:val="00404AB3"/>
    <w:rsid w:val="00407017"/>
    <w:rsid w:val="00413850"/>
    <w:rsid w:val="00416E84"/>
    <w:rsid w:val="004268BB"/>
    <w:rsid w:val="0044159B"/>
    <w:rsid w:val="00441610"/>
    <w:rsid w:val="004418EF"/>
    <w:rsid w:val="00444B2A"/>
    <w:rsid w:val="00444E84"/>
    <w:rsid w:val="004466F5"/>
    <w:rsid w:val="00455660"/>
    <w:rsid w:val="0045609D"/>
    <w:rsid w:val="00456324"/>
    <w:rsid w:val="00472B2B"/>
    <w:rsid w:val="00483D5E"/>
    <w:rsid w:val="004929BE"/>
    <w:rsid w:val="00494452"/>
    <w:rsid w:val="00496D49"/>
    <w:rsid w:val="00496D5C"/>
    <w:rsid w:val="004A3485"/>
    <w:rsid w:val="004B2B3A"/>
    <w:rsid w:val="004C2549"/>
    <w:rsid w:val="004C4224"/>
    <w:rsid w:val="004C76F2"/>
    <w:rsid w:val="004D3BF3"/>
    <w:rsid w:val="004E01F8"/>
    <w:rsid w:val="004E3FA1"/>
    <w:rsid w:val="004E44B4"/>
    <w:rsid w:val="004E7AAB"/>
    <w:rsid w:val="004F161F"/>
    <w:rsid w:val="004F348E"/>
    <w:rsid w:val="004F3DD5"/>
    <w:rsid w:val="00510F97"/>
    <w:rsid w:val="005113CA"/>
    <w:rsid w:val="00537093"/>
    <w:rsid w:val="00541BB4"/>
    <w:rsid w:val="00550339"/>
    <w:rsid w:val="00553A68"/>
    <w:rsid w:val="00575668"/>
    <w:rsid w:val="00577188"/>
    <w:rsid w:val="005813C4"/>
    <w:rsid w:val="00585CAF"/>
    <w:rsid w:val="005870A5"/>
    <w:rsid w:val="00587588"/>
    <w:rsid w:val="0059747A"/>
    <w:rsid w:val="005A5B65"/>
    <w:rsid w:val="005A78B6"/>
    <w:rsid w:val="005B1825"/>
    <w:rsid w:val="005B3E1A"/>
    <w:rsid w:val="005B75E8"/>
    <w:rsid w:val="005D4788"/>
    <w:rsid w:val="005D612E"/>
    <w:rsid w:val="005F4030"/>
    <w:rsid w:val="005F7839"/>
    <w:rsid w:val="0060324E"/>
    <w:rsid w:val="00603643"/>
    <w:rsid w:val="00606F38"/>
    <w:rsid w:val="00615E11"/>
    <w:rsid w:val="00625A88"/>
    <w:rsid w:val="00626A40"/>
    <w:rsid w:val="0063000C"/>
    <w:rsid w:val="00630A28"/>
    <w:rsid w:val="0063724B"/>
    <w:rsid w:val="00637D48"/>
    <w:rsid w:val="006412D2"/>
    <w:rsid w:val="00651797"/>
    <w:rsid w:val="00655270"/>
    <w:rsid w:val="00657B6D"/>
    <w:rsid w:val="0066172F"/>
    <w:rsid w:val="00664319"/>
    <w:rsid w:val="0067012F"/>
    <w:rsid w:val="00671EE1"/>
    <w:rsid w:val="00683FB6"/>
    <w:rsid w:val="00685382"/>
    <w:rsid w:val="00686FC7"/>
    <w:rsid w:val="00692617"/>
    <w:rsid w:val="00697A7A"/>
    <w:rsid w:val="006A03EE"/>
    <w:rsid w:val="006A2C23"/>
    <w:rsid w:val="006B35F8"/>
    <w:rsid w:val="006B4E75"/>
    <w:rsid w:val="006B5C46"/>
    <w:rsid w:val="006C6307"/>
    <w:rsid w:val="006E5AA4"/>
    <w:rsid w:val="006F23EB"/>
    <w:rsid w:val="007003C3"/>
    <w:rsid w:val="0071043E"/>
    <w:rsid w:val="00720EB2"/>
    <w:rsid w:val="00726450"/>
    <w:rsid w:val="00726C4B"/>
    <w:rsid w:val="007333E1"/>
    <w:rsid w:val="00733C3F"/>
    <w:rsid w:val="007348DF"/>
    <w:rsid w:val="00740A08"/>
    <w:rsid w:val="00740D77"/>
    <w:rsid w:val="00751018"/>
    <w:rsid w:val="007544AE"/>
    <w:rsid w:val="00761DF3"/>
    <w:rsid w:val="00767B93"/>
    <w:rsid w:val="00770C85"/>
    <w:rsid w:val="0077543E"/>
    <w:rsid w:val="00783D23"/>
    <w:rsid w:val="00793BD8"/>
    <w:rsid w:val="00796058"/>
    <w:rsid w:val="007A799B"/>
    <w:rsid w:val="007B51C4"/>
    <w:rsid w:val="007B7901"/>
    <w:rsid w:val="007C0393"/>
    <w:rsid w:val="007C1284"/>
    <w:rsid w:val="007D081D"/>
    <w:rsid w:val="007E5185"/>
    <w:rsid w:val="007E68C3"/>
    <w:rsid w:val="007F3D1E"/>
    <w:rsid w:val="007F6C98"/>
    <w:rsid w:val="00806251"/>
    <w:rsid w:val="0081449E"/>
    <w:rsid w:val="008150F8"/>
    <w:rsid w:val="00820BCB"/>
    <w:rsid w:val="00824A01"/>
    <w:rsid w:val="00827AF4"/>
    <w:rsid w:val="00831183"/>
    <w:rsid w:val="008337A7"/>
    <w:rsid w:val="00833962"/>
    <w:rsid w:val="00836B51"/>
    <w:rsid w:val="00847A58"/>
    <w:rsid w:val="00854FF6"/>
    <w:rsid w:val="008716E3"/>
    <w:rsid w:val="00873FBC"/>
    <w:rsid w:val="0088759F"/>
    <w:rsid w:val="00891458"/>
    <w:rsid w:val="008A0B8B"/>
    <w:rsid w:val="008B1C53"/>
    <w:rsid w:val="008B36E6"/>
    <w:rsid w:val="008B4163"/>
    <w:rsid w:val="008B6D53"/>
    <w:rsid w:val="008C1074"/>
    <w:rsid w:val="008C370C"/>
    <w:rsid w:val="008D075D"/>
    <w:rsid w:val="008E53BF"/>
    <w:rsid w:val="008F18F9"/>
    <w:rsid w:val="00901D33"/>
    <w:rsid w:val="00902E55"/>
    <w:rsid w:val="0092721C"/>
    <w:rsid w:val="0093118B"/>
    <w:rsid w:val="00937AF0"/>
    <w:rsid w:val="00943F49"/>
    <w:rsid w:val="00957DB8"/>
    <w:rsid w:val="00964412"/>
    <w:rsid w:val="00965DB9"/>
    <w:rsid w:val="00975EEE"/>
    <w:rsid w:val="0098098C"/>
    <w:rsid w:val="00983EB1"/>
    <w:rsid w:val="00985AF2"/>
    <w:rsid w:val="00997861"/>
    <w:rsid w:val="009B2B8A"/>
    <w:rsid w:val="009B4D7C"/>
    <w:rsid w:val="009B729C"/>
    <w:rsid w:val="009C100D"/>
    <w:rsid w:val="009C4F52"/>
    <w:rsid w:val="009C68EB"/>
    <w:rsid w:val="009D3A5B"/>
    <w:rsid w:val="009D4692"/>
    <w:rsid w:val="009D4E26"/>
    <w:rsid w:val="009D65ED"/>
    <w:rsid w:val="009E746C"/>
    <w:rsid w:val="009F2958"/>
    <w:rsid w:val="009F71DD"/>
    <w:rsid w:val="00A135A7"/>
    <w:rsid w:val="00A16369"/>
    <w:rsid w:val="00A33664"/>
    <w:rsid w:val="00A37403"/>
    <w:rsid w:val="00A435DB"/>
    <w:rsid w:val="00A467CB"/>
    <w:rsid w:val="00A52527"/>
    <w:rsid w:val="00A52DE9"/>
    <w:rsid w:val="00A54FAA"/>
    <w:rsid w:val="00A63B06"/>
    <w:rsid w:val="00A8024B"/>
    <w:rsid w:val="00A864C3"/>
    <w:rsid w:val="00A9337A"/>
    <w:rsid w:val="00A94B0D"/>
    <w:rsid w:val="00AA0CAC"/>
    <w:rsid w:val="00AA3BB7"/>
    <w:rsid w:val="00AA4B4B"/>
    <w:rsid w:val="00AB551A"/>
    <w:rsid w:val="00AD67BA"/>
    <w:rsid w:val="00AF0779"/>
    <w:rsid w:val="00AF0964"/>
    <w:rsid w:val="00B00DE5"/>
    <w:rsid w:val="00B02E5E"/>
    <w:rsid w:val="00B0489C"/>
    <w:rsid w:val="00B0588F"/>
    <w:rsid w:val="00B05DBC"/>
    <w:rsid w:val="00B07ED2"/>
    <w:rsid w:val="00B370BD"/>
    <w:rsid w:val="00B41F95"/>
    <w:rsid w:val="00B5500C"/>
    <w:rsid w:val="00B606E9"/>
    <w:rsid w:val="00B60C75"/>
    <w:rsid w:val="00B74007"/>
    <w:rsid w:val="00B77A71"/>
    <w:rsid w:val="00B82E8B"/>
    <w:rsid w:val="00B90397"/>
    <w:rsid w:val="00BA09FE"/>
    <w:rsid w:val="00BA3E7D"/>
    <w:rsid w:val="00BA7BBB"/>
    <w:rsid w:val="00BB2C8E"/>
    <w:rsid w:val="00BB3071"/>
    <w:rsid w:val="00BF5181"/>
    <w:rsid w:val="00C02A02"/>
    <w:rsid w:val="00C02AE1"/>
    <w:rsid w:val="00C208C8"/>
    <w:rsid w:val="00C23CAB"/>
    <w:rsid w:val="00C34A75"/>
    <w:rsid w:val="00C3664E"/>
    <w:rsid w:val="00C564AA"/>
    <w:rsid w:val="00C6170A"/>
    <w:rsid w:val="00C64945"/>
    <w:rsid w:val="00C73684"/>
    <w:rsid w:val="00C77514"/>
    <w:rsid w:val="00C81E69"/>
    <w:rsid w:val="00C82516"/>
    <w:rsid w:val="00CA0D07"/>
    <w:rsid w:val="00CB1FA6"/>
    <w:rsid w:val="00CB49C1"/>
    <w:rsid w:val="00CC3E02"/>
    <w:rsid w:val="00CC49AC"/>
    <w:rsid w:val="00CD7516"/>
    <w:rsid w:val="00CE30E8"/>
    <w:rsid w:val="00CE61A1"/>
    <w:rsid w:val="00D019D8"/>
    <w:rsid w:val="00D21C28"/>
    <w:rsid w:val="00D251A5"/>
    <w:rsid w:val="00D3418D"/>
    <w:rsid w:val="00D41A64"/>
    <w:rsid w:val="00D54450"/>
    <w:rsid w:val="00D55BFC"/>
    <w:rsid w:val="00D56664"/>
    <w:rsid w:val="00D64FA8"/>
    <w:rsid w:val="00D65805"/>
    <w:rsid w:val="00D673EF"/>
    <w:rsid w:val="00D73B57"/>
    <w:rsid w:val="00D75A8C"/>
    <w:rsid w:val="00D820EE"/>
    <w:rsid w:val="00D85B47"/>
    <w:rsid w:val="00D942DF"/>
    <w:rsid w:val="00DB1146"/>
    <w:rsid w:val="00DB1992"/>
    <w:rsid w:val="00DB7391"/>
    <w:rsid w:val="00DD2DEB"/>
    <w:rsid w:val="00DD6A0E"/>
    <w:rsid w:val="00DD74EF"/>
    <w:rsid w:val="00DE4073"/>
    <w:rsid w:val="00DE79C6"/>
    <w:rsid w:val="00DE7C4D"/>
    <w:rsid w:val="00DF434D"/>
    <w:rsid w:val="00DF79B4"/>
    <w:rsid w:val="00E0230F"/>
    <w:rsid w:val="00E12773"/>
    <w:rsid w:val="00E14A22"/>
    <w:rsid w:val="00E14E78"/>
    <w:rsid w:val="00E16666"/>
    <w:rsid w:val="00E24442"/>
    <w:rsid w:val="00E2631A"/>
    <w:rsid w:val="00E32571"/>
    <w:rsid w:val="00E3687C"/>
    <w:rsid w:val="00E42755"/>
    <w:rsid w:val="00E502F2"/>
    <w:rsid w:val="00E554D7"/>
    <w:rsid w:val="00E57815"/>
    <w:rsid w:val="00E605DF"/>
    <w:rsid w:val="00E61A0B"/>
    <w:rsid w:val="00E667B3"/>
    <w:rsid w:val="00E76A92"/>
    <w:rsid w:val="00E80D92"/>
    <w:rsid w:val="00E840C7"/>
    <w:rsid w:val="00E8620D"/>
    <w:rsid w:val="00E92083"/>
    <w:rsid w:val="00E94872"/>
    <w:rsid w:val="00E94DF0"/>
    <w:rsid w:val="00EA09D4"/>
    <w:rsid w:val="00EA28BF"/>
    <w:rsid w:val="00EA7E9C"/>
    <w:rsid w:val="00EB4668"/>
    <w:rsid w:val="00EB51D1"/>
    <w:rsid w:val="00EB5F6E"/>
    <w:rsid w:val="00EB764D"/>
    <w:rsid w:val="00EC26EC"/>
    <w:rsid w:val="00EC747C"/>
    <w:rsid w:val="00ED3FED"/>
    <w:rsid w:val="00ED4C2E"/>
    <w:rsid w:val="00ED571D"/>
    <w:rsid w:val="00EE22F2"/>
    <w:rsid w:val="00EE324E"/>
    <w:rsid w:val="00EE3F83"/>
    <w:rsid w:val="00EF78E2"/>
    <w:rsid w:val="00F00715"/>
    <w:rsid w:val="00F046A2"/>
    <w:rsid w:val="00F12830"/>
    <w:rsid w:val="00F13987"/>
    <w:rsid w:val="00F3015C"/>
    <w:rsid w:val="00F32825"/>
    <w:rsid w:val="00F362C1"/>
    <w:rsid w:val="00F40110"/>
    <w:rsid w:val="00F41AE4"/>
    <w:rsid w:val="00F41E4C"/>
    <w:rsid w:val="00F47875"/>
    <w:rsid w:val="00F47B8B"/>
    <w:rsid w:val="00F5138C"/>
    <w:rsid w:val="00F516D5"/>
    <w:rsid w:val="00F55379"/>
    <w:rsid w:val="00F80456"/>
    <w:rsid w:val="00F816A2"/>
    <w:rsid w:val="00F96BDC"/>
    <w:rsid w:val="00FB30BD"/>
    <w:rsid w:val="00FB6A0E"/>
    <w:rsid w:val="00FC53CF"/>
    <w:rsid w:val="00FD7CA6"/>
    <w:rsid w:val="00FE14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E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075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8D075D"/>
    <w:pPr>
      <w:keepNext/>
      <w:spacing w:before="240" w:after="60"/>
      <w:outlineLvl w:val="0"/>
    </w:pPr>
    <w:rPr>
      <w:rFonts w:cs="Arial"/>
      <w:b/>
      <w:bCs/>
      <w:kern w:val="32"/>
      <w:sz w:val="32"/>
      <w:szCs w:val="32"/>
    </w:rPr>
  </w:style>
  <w:style w:type="paragraph" w:styleId="Nagwek2">
    <w:name w:val="heading 2"/>
    <w:basedOn w:val="Normalny"/>
    <w:next w:val="Normalny"/>
    <w:link w:val="Nagwek2Znak"/>
    <w:qFormat/>
    <w:rsid w:val="008D075D"/>
    <w:pPr>
      <w:keepNext/>
      <w:spacing w:before="240" w:after="60"/>
      <w:outlineLvl w:val="1"/>
    </w:pPr>
    <w:rPr>
      <w:rFonts w:cs="Arial"/>
      <w:b/>
      <w:bCs/>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D075D"/>
    <w:pPr>
      <w:tabs>
        <w:tab w:val="center" w:pos="4536"/>
        <w:tab w:val="right" w:pos="9072"/>
      </w:tabs>
    </w:pPr>
  </w:style>
  <w:style w:type="character" w:customStyle="1" w:styleId="NagwekZnak">
    <w:name w:val="Nagłówek Znak"/>
    <w:basedOn w:val="Domylnaczcionkaakapitu"/>
    <w:link w:val="Nagwek"/>
    <w:uiPriority w:val="99"/>
    <w:rsid w:val="008D075D"/>
  </w:style>
  <w:style w:type="paragraph" w:styleId="Stopka">
    <w:name w:val="footer"/>
    <w:basedOn w:val="Normalny"/>
    <w:link w:val="StopkaZnak"/>
    <w:uiPriority w:val="99"/>
    <w:unhideWhenUsed/>
    <w:rsid w:val="008D075D"/>
    <w:pPr>
      <w:tabs>
        <w:tab w:val="center" w:pos="4536"/>
        <w:tab w:val="right" w:pos="9072"/>
      </w:tabs>
    </w:pPr>
  </w:style>
  <w:style w:type="character" w:customStyle="1" w:styleId="StopkaZnak">
    <w:name w:val="Stopka Znak"/>
    <w:basedOn w:val="Domylnaczcionkaakapitu"/>
    <w:link w:val="Stopka"/>
    <w:uiPriority w:val="99"/>
    <w:rsid w:val="008D075D"/>
  </w:style>
  <w:style w:type="paragraph" w:styleId="Tekstdymka">
    <w:name w:val="Balloon Text"/>
    <w:basedOn w:val="Normalny"/>
    <w:link w:val="TekstdymkaZnak"/>
    <w:uiPriority w:val="99"/>
    <w:semiHidden/>
    <w:unhideWhenUsed/>
    <w:rsid w:val="008D075D"/>
    <w:rPr>
      <w:rFonts w:ascii="Tahoma" w:hAnsi="Tahoma" w:cs="Tahoma"/>
      <w:sz w:val="16"/>
      <w:szCs w:val="16"/>
    </w:rPr>
  </w:style>
  <w:style w:type="character" w:customStyle="1" w:styleId="TekstdymkaZnak">
    <w:name w:val="Tekst dymka Znak"/>
    <w:basedOn w:val="Domylnaczcionkaakapitu"/>
    <w:link w:val="Tekstdymka"/>
    <w:uiPriority w:val="99"/>
    <w:semiHidden/>
    <w:rsid w:val="008D075D"/>
    <w:rPr>
      <w:rFonts w:ascii="Tahoma" w:hAnsi="Tahoma" w:cs="Tahoma"/>
      <w:sz w:val="16"/>
      <w:szCs w:val="16"/>
    </w:rPr>
  </w:style>
  <w:style w:type="character" w:customStyle="1" w:styleId="Nagwek1Znak">
    <w:name w:val="Nagłówek 1 Znak"/>
    <w:basedOn w:val="Domylnaczcionkaakapitu"/>
    <w:link w:val="Nagwek1"/>
    <w:rsid w:val="008D075D"/>
    <w:rPr>
      <w:rFonts w:ascii="Times New Roman" w:eastAsia="Times New Roman" w:hAnsi="Times New Roman" w:cs="Arial"/>
      <w:b/>
      <w:bCs/>
      <w:kern w:val="32"/>
      <w:sz w:val="32"/>
      <w:szCs w:val="32"/>
      <w:lang w:eastAsia="pl-PL"/>
    </w:rPr>
  </w:style>
  <w:style w:type="character" w:customStyle="1" w:styleId="Nagwek2Znak">
    <w:name w:val="Nagłówek 2 Znak"/>
    <w:basedOn w:val="Domylnaczcionkaakapitu"/>
    <w:link w:val="Nagwek2"/>
    <w:rsid w:val="008D075D"/>
    <w:rPr>
      <w:rFonts w:ascii="Times New Roman" w:eastAsia="Times New Roman" w:hAnsi="Times New Roman" w:cs="Arial"/>
      <w:b/>
      <w:bCs/>
      <w:iCs/>
      <w:sz w:val="28"/>
      <w:szCs w:val="28"/>
      <w:lang w:eastAsia="pl-PL"/>
    </w:rPr>
  </w:style>
  <w:style w:type="paragraph" w:styleId="Legenda">
    <w:name w:val="caption"/>
    <w:basedOn w:val="Normalny"/>
    <w:next w:val="Normalny"/>
    <w:qFormat/>
    <w:rsid w:val="008D075D"/>
    <w:pPr>
      <w:ind w:left="1588" w:hanging="1588"/>
    </w:pPr>
    <w:rPr>
      <w:bCs/>
      <w:szCs w:val="20"/>
    </w:rPr>
  </w:style>
  <w:style w:type="paragraph" w:styleId="Bezodstpw">
    <w:name w:val="No Spacing"/>
    <w:uiPriority w:val="1"/>
    <w:qFormat/>
    <w:rsid w:val="008D075D"/>
    <w:pPr>
      <w:spacing w:after="0" w:line="240" w:lineRule="auto"/>
    </w:pPr>
    <w:rPr>
      <w:rFonts w:ascii="Calibri" w:eastAsia="Times New Roman" w:hAnsi="Calibri" w:cs="Times New Roman"/>
    </w:rPr>
  </w:style>
  <w:style w:type="character" w:styleId="Odwoaniedokomentarza">
    <w:name w:val="annotation reference"/>
    <w:basedOn w:val="Domylnaczcionkaakapitu"/>
    <w:uiPriority w:val="99"/>
    <w:semiHidden/>
    <w:unhideWhenUsed/>
    <w:rsid w:val="009B729C"/>
    <w:rPr>
      <w:sz w:val="16"/>
      <w:szCs w:val="16"/>
    </w:rPr>
  </w:style>
  <w:style w:type="paragraph" w:styleId="Tekstkomentarza">
    <w:name w:val="annotation text"/>
    <w:basedOn w:val="Normalny"/>
    <w:link w:val="TekstkomentarzaZnak"/>
    <w:uiPriority w:val="99"/>
    <w:semiHidden/>
    <w:unhideWhenUsed/>
    <w:rsid w:val="009B729C"/>
    <w:rPr>
      <w:sz w:val="20"/>
      <w:szCs w:val="20"/>
    </w:rPr>
  </w:style>
  <w:style w:type="character" w:customStyle="1" w:styleId="TekstkomentarzaZnak">
    <w:name w:val="Tekst komentarza Znak"/>
    <w:basedOn w:val="Domylnaczcionkaakapitu"/>
    <w:link w:val="Tekstkomentarza"/>
    <w:uiPriority w:val="99"/>
    <w:semiHidden/>
    <w:rsid w:val="009B729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B729C"/>
    <w:rPr>
      <w:b/>
      <w:bCs/>
    </w:rPr>
  </w:style>
  <w:style w:type="character" w:customStyle="1" w:styleId="TematkomentarzaZnak">
    <w:name w:val="Temat komentarza Znak"/>
    <w:basedOn w:val="TekstkomentarzaZnak"/>
    <w:link w:val="Tematkomentarza"/>
    <w:uiPriority w:val="99"/>
    <w:semiHidden/>
    <w:rsid w:val="009B729C"/>
    <w:rPr>
      <w:rFonts w:ascii="Times New Roman" w:eastAsia="Times New Roman" w:hAnsi="Times New Roman" w:cs="Times New Roman"/>
      <w:b/>
      <w:bCs/>
      <w:sz w:val="20"/>
      <w:szCs w:val="20"/>
      <w:lang w:eastAsia="pl-PL"/>
    </w:rPr>
  </w:style>
  <w:style w:type="paragraph" w:styleId="Akapitzlist">
    <w:name w:val="List Paragraph"/>
    <w:basedOn w:val="Normalny"/>
    <w:qFormat/>
    <w:rsid w:val="00541BB4"/>
    <w:pPr>
      <w:spacing w:after="200" w:line="276" w:lineRule="auto"/>
      <w:ind w:left="720"/>
      <w:contextualSpacing/>
    </w:pPr>
    <w:rPr>
      <w:rFonts w:asciiTheme="minorHAnsi" w:eastAsiaTheme="minorHAnsi" w:hAnsiTheme="minorHAnsi" w:cstheme="minorBidi"/>
      <w:sz w:val="22"/>
      <w:szCs w:val="22"/>
      <w:lang w:eastAsia="en-US"/>
    </w:rPr>
  </w:style>
  <w:style w:type="character" w:styleId="Hipercze">
    <w:name w:val="Hyperlink"/>
    <w:basedOn w:val="Domylnaczcionkaakapitu"/>
    <w:uiPriority w:val="99"/>
    <w:unhideWhenUsed/>
    <w:rsid w:val="00D64FA8"/>
    <w:rPr>
      <w:color w:val="0000FF" w:themeColor="hyperlink"/>
      <w:u w:val="single"/>
    </w:rPr>
  </w:style>
  <w:style w:type="paragraph" w:customStyle="1" w:styleId="Default">
    <w:name w:val="Default"/>
    <w:rsid w:val="008C370C"/>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075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8D075D"/>
    <w:pPr>
      <w:keepNext/>
      <w:spacing w:before="240" w:after="60"/>
      <w:outlineLvl w:val="0"/>
    </w:pPr>
    <w:rPr>
      <w:rFonts w:cs="Arial"/>
      <w:b/>
      <w:bCs/>
      <w:kern w:val="32"/>
      <w:sz w:val="32"/>
      <w:szCs w:val="32"/>
    </w:rPr>
  </w:style>
  <w:style w:type="paragraph" w:styleId="Nagwek2">
    <w:name w:val="heading 2"/>
    <w:basedOn w:val="Normalny"/>
    <w:next w:val="Normalny"/>
    <w:link w:val="Nagwek2Znak"/>
    <w:qFormat/>
    <w:rsid w:val="008D075D"/>
    <w:pPr>
      <w:keepNext/>
      <w:spacing w:before="240" w:after="60"/>
      <w:outlineLvl w:val="1"/>
    </w:pPr>
    <w:rPr>
      <w:rFonts w:cs="Arial"/>
      <w:b/>
      <w:bCs/>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D075D"/>
    <w:pPr>
      <w:tabs>
        <w:tab w:val="center" w:pos="4536"/>
        <w:tab w:val="right" w:pos="9072"/>
      </w:tabs>
    </w:pPr>
  </w:style>
  <w:style w:type="character" w:customStyle="1" w:styleId="NagwekZnak">
    <w:name w:val="Nagłówek Znak"/>
    <w:basedOn w:val="Domylnaczcionkaakapitu"/>
    <w:link w:val="Nagwek"/>
    <w:uiPriority w:val="99"/>
    <w:rsid w:val="008D075D"/>
  </w:style>
  <w:style w:type="paragraph" w:styleId="Stopka">
    <w:name w:val="footer"/>
    <w:basedOn w:val="Normalny"/>
    <w:link w:val="StopkaZnak"/>
    <w:uiPriority w:val="99"/>
    <w:unhideWhenUsed/>
    <w:rsid w:val="008D075D"/>
    <w:pPr>
      <w:tabs>
        <w:tab w:val="center" w:pos="4536"/>
        <w:tab w:val="right" w:pos="9072"/>
      </w:tabs>
    </w:pPr>
  </w:style>
  <w:style w:type="character" w:customStyle="1" w:styleId="StopkaZnak">
    <w:name w:val="Stopka Znak"/>
    <w:basedOn w:val="Domylnaczcionkaakapitu"/>
    <w:link w:val="Stopka"/>
    <w:uiPriority w:val="99"/>
    <w:rsid w:val="008D075D"/>
  </w:style>
  <w:style w:type="paragraph" w:styleId="Tekstdymka">
    <w:name w:val="Balloon Text"/>
    <w:basedOn w:val="Normalny"/>
    <w:link w:val="TekstdymkaZnak"/>
    <w:uiPriority w:val="99"/>
    <w:semiHidden/>
    <w:unhideWhenUsed/>
    <w:rsid w:val="008D075D"/>
    <w:rPr>
      <w:rFonts w:ascii="Tahoma" w:hAnsi="Tahoma" w:cs="Tahoma"/>
      <w:sz w:val="16"/>
      <w:szCs w:val="16"/>
    </w:rPr>
  </w:style>
  <w:style w:type="character" w:customStyle="1" w:styleId="TekstdymkaZnak">
    <w:name w:val="Tekst dymka Znak"/>
    <w:basedOn w:val="Domylnaczcionkaakapitu"/>
    <w:link w:val="Tekstdymka"/>
    <w:uiPriority w:val="99"/>
    <w:semiHidden/>
    <w:rsid w:val="008D075D"/>
    <w:rPr>
      <w:rFonts w:ascii="Tahoma" w:hAnsi="Tahoma" w:cs="Tahoma"/>
      <w:sz w:val="16"/>
      <w:szCs w:val="16"/>
    </w:rPr>
  </w:style>
  <w:style w:type="character" w:customStyle="1" w:styleId="Nagwek1Znak">
    <w:name w:val="Nagłówek 1 Znak"/>
    <w:basedOn w:val="Domylnaczcionkaakapitu"/>
    <w:link w:val="Nagwek1"/>
    <w:rsid w:val="008D075D"/>
    <w:rPr>
      <w:rFonts w:ascii="Times New Roman" w:eastAsia="Times New Roman" w:hAnsi="Times New Roman" w:cs="Arial"/>
      <w:b/>
      <w:bCs/>
      <w:kern w:val="32"/>
      <w:sz w:val="32"/>
      <w:szCs w:val="32"/>
      <w:lang w:eastAsia="pl-PL"/>
    </w:rPr>
  </w:style>
  <w:style w:type="character" w:customStyle="1" w:styleId="Nagwek2Znak">
    <w:name w:val="Nagłówek 2 Znak"/>
    <w:basedOn w:val="Domylnaczcionkaakapitu"/>
    <w:link w:val="Nagwek2"/>
    <w:rsid w:val="008D075D"/>
    <w:rPr>
      <w:rFonts w:ascii="Times New Roman" w:eastAsia="Times New Roman" w:hAnsi="Times New Roman" w:cs="Arial"/>
      <w:b/>
      <w:bCs/>
      <w:iCs/>
      <w:sz w:val="28"/>
      <w:szCs w:val="28"/>
      <w:lang w:eastAsia="pl-PL"/>
    </w:rPr>
  </w:style>
  <w:style w:type="paragraph" w:styleId="Legenda">
    <w:name w:val="caption"/>
    <w:basedOn w:val="Normalny"/>
    <w:next w:val="Normalny"/>
    <w:qFormat/>
    <w:rsid w:val="008D075D"/>
    <w:pPr>
      <w:ind w:left="1588" w:hanging="1588"/>
    </w:pPr>
    <w:rPr>
      <w:bCs/>
      <w:szCs w:val="20"/>
    </w:rPr>
  </w:style>
  <w:style w:type="paragraph" w:styleId="Bezodstpw">
    <w:name w:val="No Spacing"/>
    <w:uiPriority w:val="1"/>
    <w:qFormat/>
    <w:rsid w:val="008D075D"/>
    <w:pPr>
      <w:spacing w:after="0" w:line="240" w:lineRule="auto"/>
    </w:pPr>
    <w:rPr>
      <w:rFonts w:ascii="Calibri" w:eastAsia="Times New Roman" w:hAnsi="Calibri" w:cs="Times New Roman"/>
    </w:rPr>
  </w:style>
  <w:style w:type="character" w:styleId="Odwoaniedokomentarza">
    <w:name w:val="annotation reference"/>
    <w:basedOn w:val="Domylnaczcionkaakapitu"/>
    <w:uiPriority w:val="99"/>
    <w:semiHidden/>
    <w:unhideWhenUsed/>
    <w:rsid w:val="009B729C"/>
    <w:rPr>
      <w:sz w:val="16"/>
      <w:szCs w:val="16"/>
    </w:rPr>
  </w:style>
  <w:style w:type="paragraph" w:styleId="Tekstkomentarza">
    <w:name w:val="annotation text"/>
    <w:basedOn w:val="Normalny"/>
    <w:link w:val="TekstkomentarzaZnak"/>
    <w:uiPriority w:val="99"/>
    <w:semiHidden/>
    <w:unhideWhenUsed/>
    <w:rsid w:val="009B729C"/>
    <w:rPr>
      <w:sz w:val="20"/>
      <w:szCs w:val="20"/>
    </w:rPr>
  </w:style>
  <w:style w:type="character" w:customStyle="1" w:styleId="TekstkomentarzaZnak">
    <w:name w:val="Tekst komentarza Znak"/>
    <w:basedOn w:val="Domylnaczcionkaakapitu"/>
    <w:link w:val="Tekstkomentarza"/>
    <w:uiPriority w:val="99"/>
    <w:semiHidden/>
    <w:rsid w:val="009B729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B729C"/>
    <w:rPr>
      <w:b/>
      <w:bCs/>
    </w:rPr>
  </w:style>
  <w:style w:type="character" w:customStyle="1" w:styleId="TematkomentarzaZnak">
    <w:name w:val="Temat komentarza Znak"/>
    <w:basedOn w:val="TekstkomentarzaZnak"/>
    <w:link w:val="Tematkomentarza"/>
    <w:uiPriority w:val="99"/>
    <w:semiHidden/>
    <w:rsid w:val="009B729C"/>
    <w:rPr>
      <w:rFonts w:ascii="Times New Roman" w:eastAsia="Times New Roman" w:hAnsi="Times New Roman" w:cs="Times New Roman"/>
      <w:b/>
      <w:bCs/>
      <w:sz w:val="20"/>
      <w:szCs w:val="20"/>
      <w:lang w:eastAsia="pl-PL"/>
    </w:rPr>
  </w:style>
  <w:style w:type="paragraph" w:styleId="Akapitzlist">
    <w:name w:val="List Paragraph"/>
    <w:basedOn w:val="Normalny"/>
    <w:qFormat/>
    <w:rsid w:val="00541BB4"/>
    <w:pPr>
      <w:spacing w:after="200" w:line="276" w:lineRule="auto"/>
      <w:ind w:left="720"/>
      <w:contextualSpacing/>
    </w:pPr>
    <w:rPr>
      <w:rFonts w:asciiTheme="minorHAnsi" w:eastAsiaTheme="minorHAnsi" w:hAnsiTheme="minorHAnsi" w:cstheme="minorBidi"/>
      <w:sz w:val="22"/>
      <w:szCs w:val="22"/>
      <w:lang w:eastAsia="en-US"/>
    </w:rPr>
  </w:style>
  <w:style w:type="character" w:styleId="Hipercze">
    <w:name w:val="Hyperlink"/>
    <w:basedOn w:val="Domylnaczcionkaakapitu"/>
    <w:uiPriority w:val="99"/>
    <w:unhideWhenUsed/>
    <w:rsid w:val="00D64FA8"/>
    <w:rPr>
      <w:color w:val="0000FF" w:themeColor="hyperlink"/>
      <w:u w:val="single"/>
    </w:rPr>
  </w:style>
  <w:style w:type="paragraph" w:customStyle="1" w:styleId="Default">
    <w:name w:val="Default"/>
    <w:rsid w:val="008C370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wiatlnu.eu"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kwiatlnu.eu"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kwiatlnu.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F7DE1-2062-4F9F-9F5B-D8B56754B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2698</Words>
  <Characters>16191</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Pracownik1</cp:lastModifiedBy>
  <cp:revision>2</cp:revision>
  <dcterms:created xsi:type="dcterms:W3CDTF">2018-09-18T12:57:00Z</dcterms:created>
  <dcterms:modified xsi:type="dcterms:W3CDTF">2018-09-18T12:57:00Z</dcterms:modified>
</cp:coreProperties>
</file>