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3793"/>
        <w:gridCol w:w="3672"/>
        <w:gridCol w:w="3034"/>
        <w:gridCol w:w="3031"/>
      </w:tblGrid>
      <w:tr w:rsidR="0023431A" w:rsidRPr="004B3067" w:rsidTr="000673E7">
        <w:trPr>
          <w:trHeight w:val="102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3431A" w:rsidRPr="008A5ECF" w:rsidRDefault="0023431A" w:rsidP="000673E7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8A5ECF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Kryteria wyboru projektów z zakresu</w:t>
            </w:r>
          </w:p>
          <w:p w:rsidR="0023431A" w:rsidRPr="008A5ECF" w:rsidRDefault="0023431A" w:rsidP="000673E7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8A5ECF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R</w:t>
            </w:r>
            <w:r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 xml:space="preserve">ozwój przedsiębiorczości przez ROZWIJANIE </w:t>
            </w:r>
            <w:r w:rsidRPr="008A5ECF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DZIAŁALNOSCI GOSPODARCZEJ</w:t>
            </w:r>
          </w:p>
          <w:p w:rsidR="0023431A" w:rsidRPr="008A5ECF" w:rsidRDefault="0023431A" w:rsidP="000673E7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="Calibri" w:hAnsi="Calibri" w:cs="Calibri"/>
                <w:b/>
                <w:sz w:val="28"/>
                <w:szCs w:val="28"/>
                <w:lang w:eastAsia="ar-SA"/>
              </w:rPr>
            </w:pPr>
            <w:r w:rsidRPr="008A5ECF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LGD  Kwiat Lnu  w ramach realizacji LSR 2014-2020</w:t>
            </w:r>
          </w:p>
        </w:tc>
      </w:tr>
      <w:tr w:rsidR="0023431A" w:rsidRPr="004B3067" w:rsidTr="000673E7">
        <w:trPr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23431A" w:rsidRPr="004B3067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Kryterium</w:t>
            </w:r>
          </w:p>
        </w:tc>
        <w:tc>
          <w:tcPr>
            <w:tcW w:w="1220" w:type="pct"/>
            <w:shd w:val="clear" w:color="auto" w:fill="auto"/>
          </w:tcPr>
          <w:p w:rsidR="0023431A" w:rsidRPr="008A5ECF" w:rsidRDefault="0023431A" w:rsidP="000673E7">
            <w:pPr>
              <w:pStyle w:val="Akapitzlist"/>
              <w:ind w:left="142"/>
              <w:jc w:val="both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Obecny zapis</w:t>
            </w:r>
          </w:p>
        </w:tc>
        <w:tc>
          <w:tcPr>
            <w:tcW w:w="1181" w:type="pct"/>
            <w:shd w:val="clear" w:color="auto" w:fill="auto"/>
          </w:tcPr>
          <w:p w:rsidR="0023431A" w:rsidRPr="008A5ECF" w:rsidRDefault="0023431A" w:rsidP="000673E7">
            <w:pPr>
              <w:pStyle w:val="Akapitzlist"/>
              <w:ind w:left="142"/>
              <w:jc w:val="both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Propozycja zmiany zapisu</w:t>
            </w:r>
          </w:p>
        </w:tc>
        <w:tc>
          <w:tcPr>
            <w:tcW w:w="976" w:type="pct"/>
            <w:shd w:val="clear" w:color="auto" w:fill="auto"/>
          </w:tcPr>
          <w:p w:rsidR="0023431A" w:rsidRPr="008A5ECF" w:rsidRDefault="0023431A" w:rsidP="000673E7">
            <w:pPr>
              <w:pStyle w:val="Akapitzlist"/>
              <w:ind w:left="142"/>
              <w:jc w:val="both"/>
              <w:rPr>
                <w:rFonts w:cstheme="minorHAnsi"/>
                <w:u w:val="single"/>
              </w:rPr>
            </w:pPr>
            <w:r w:rsidRPr="008A5ECF">
              <w:rPr>
                <w:rFonts w:cstheme="minorHAnsi"/>
                <w:u w:val="single"/>
              </w:rPr>
              <w:t>Uzasadnienie</w:t>
            </w:r>
          </w:p>
        </w:tc>
        <w:tc>
          <w:tcPr>
            <w:tcW w:w="975" w:type="pct"/>
          </w:tcPr>
          <w:p w:rsidR="0023431A" w:rsidRPr="008A5ECF" w:rsidRDefault="0023431A" w:rsidP="000673E7">
            <w:pPr>
              <w:pStyle w:val="Akapitzlist"/>
              <w:ind w:left="142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Uwagi do proponowanych zmian</w:t>
            </w:r>
          </w:p>
        </w:tc>
      </w:tr>
      <w:tr w:rsidR="0023431A" w:rsidRPr="001E4083" w:rsidTr="00A154F4">
        <w:trPr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23431A" w:rsidRPr="001E4083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E4083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1. Zakres uruchamianej działalności przyczynia się do rozwoju gospodarczego w kierunkach wskazanych w LSR  jako kluczowe dla obszaru LGD</w:t>
            </w:r>
          </w:p>
        </w:tc>
        <w:tc>
          <w:tcPr>
            <w:tcW w:w="1220" w:type="pct"/>
            <w:shd w:val="clear" w:color="auto" w:fill="auto"/>
          </w:tcPr>
          <w:p w:rsidR="0023431A" w:rsidRPr="002968AE" w:rsidRDefault="0023431A" w:rsidP="000673E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68AE">
              <w:rPr>
                <w:rFonts w:asciiTheme="minorHAnsi" w:hAnsiTheme="minorHAnsi" w:cstheme="minorHAnsi"/>
                <w:sz w:val="20"/>
                <w:szCs w:val="20"/>
              </w:rPr>
              <w:t>2. Działalność związana z zakwaterowaniem i gastronomią.</w:t>
            </w:r>
          </w:p>
          <w:p w:rsidR="0023431A" w:rsidRPr="002968AE" w:rsidRDefault="0023431A" w:rsidP="000673E7">
            <w:pPr>
              <w:pStyle w:val="Akapitzlist"/>
              <w:ind w:left="14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3431A" w:rsidRPr="002968AE" w:rsidRDefault="0023431A" w:rsidP="000673E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68AE">
              <w:rPr>
                <w:rFonts w:asciiTheme="minorHAnsi" w:hAnsiTheme="minorHAnsi" w:cstheme="minorHAnsi"/>
                <w:sz w:val="20"/>
                <w:szCs w:val="20"/>
              </w:rPr>
              <w:t xml:space="preserve">2. Działalność </w:t>
            </w:r>
            <w:r w:rsidRPr="002968A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bezpośrednio</w:t>
            </w:r>
            <w:r w:rsidRPr="002968AE">
              <w:rPr>
                <w:rFonts w:asciiTheme="minorHAnsi" w:hAnsiTheme="minorHAnsi" w:cstheme="minorHAnsi"/>
                <w:sz w:val="20"/>
                <w:szCs w:val="20"/>
              </w:rPr>
              <w:t xml:space="preserve"> związana z </w:t>
            </w:r>
            <w:r w:rsidRPr="002968A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usługami w zakresie </w:t>
            </w:r>
            <w:r w:rsidRPr="002968AE">
              <w:rPr>
                <w:rFonts w:asciiTheme="minorHAnsi" w:hAnsiTheme="minorHAnsi" w:cstheme="minorHAnsi"/>
                <w:sz w:val="20"/>
                <w:szCs w:val="20"/>
              </w:rPr>
              <w:t>zakwaterowania i gastronomii.</w:t>
            </w:r>
          </w:p>
        </w:tc>
        <w:tc>
          <w:tcPr>
            <w:tcW w:w="976" w:type="pct"/>
            <w:shd w:val="clear" w:color="auto" w:fill="auto"/>
          </w:tcPr>
          <w:p w:rsidR="0023431A" w:rsidRPr="001E4083" w:rsidRDefault="00C546EE" w:rsidP="00A154F4">
            <w:pPr>
              <w:pStyle w:val="Akapitzlist"/>
              <w:ind w:left="142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Uszczegółowienie zapisu</w:t>
            </w:r>
          </w:p>
        </w:tc>
        <w:tc>
          <w:tcPr>
            <w:tcW w:w="975" w:type="pct"/>
          </w:tcPr>
          <w:p w:rsidR="0023431A" w:rsidRPr="001E4083" w:rsidRDefault="0023431A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0A31B4" w:rsidTr="00A154F4">
        <w:trPr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23431A" w:rsidRPr="000A31B4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A31B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2. Innowacyjność operacji</w:t>
            </w:r>
          </w:p>
        </w:tc>
        <w:tc>
          <w:tcPr>
            <w:tcW w:w="1220" w:type="pct"/>
            <w:shd w:val="clear" w:color="auto" w:fill="auto"/>
          </w:tcPr>
          <w:p w:rsidR="0023431A" w:rsidRDefault="0023431A" w:rsidP="000673E7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0A31B4">
              <w:rPr>
                <w:rFonts w:asciiTheme="minorHAnsi" w:hAnsiTheme="minorHAnsi" w:cstheme="minorHAnsi"/>
                <w:sz w:val="20"/>
                <w:szCs w:val="20"/>
              </w:rPr>
              <w:t>Max 3</w:t>
            </w:r>
          </w:p>
          <w:p w:rsidR="0023431A" w:rsidRPr="000A31B4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1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3 – operacja jest innowacyjna </w:t>
            </w:r>
          </w:p>
          <w:p w:rsidR="0023431A" w:rsidRPr="000A31B4" w:rsidRDefault="0023431A" w:rsidP="000673E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31B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0 – operacja nie jest innowacyjna</w:t>
            </w:r>
          </w:p>
        </w:tc>
        <w:tc>
          <w:tcPr>
            <w:tcW w:w="1181" w:type="pct"/>
            <w:shd w:val="clear" w:color="auto" w:fill="auto"/>
          </w:tcPr>
          <w:p w:rsidR="0023431A" w:rsidRPr="002968AE" w:rsidRDefault="0023431A" w:rsidP="000673E7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 w:rsidRPr="002968AE">
              <w:rPr>
                <w:rFonts w:cstheme="minorHAnsi"/>
                <w:sz w:val="20"/>
                <w:szCs w:val="20"/>
              </w:rPr>
              <w:t>Max 3</w:t>
            </w:r>
          </w:p>
          <w:p w:rsidR="0023431A" w:rsidRPr="002968AE" w:rsidRDefault="0023431A" w:rsidP="000673E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68AE">
              <w:rPr>
                <w:rFonts w:asciiTheme="minorHAnsi" w:hAnsiTheme="minorHAnsi" w:cstheme="minorHAnsi"/>
                <w:sz w:val="20"/>
                <w:szCs w:val="20"/>
              </w:rPr>
              <w:t xml:space="preserve">3 – operacja jest innowacyjna </w:t>
            </w:r>
            <w:r w:rsidRPr="002968A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</w:t>
            </w:r>
            <w:r w:rsidRPr="002968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968A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obszarze LGD</w:t>
            </w:r>
          </w:p>
          <w:p w:rsidR="0023431A" w:rsidRPr="002968AE" w:rsidRDefault="0023431A" w:rsidP="000673E7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968A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 – operacja jest innowacyjna na terenie gminy</w:t>
            </w:r>
          </w:p>
          <w:p w:rsidR="0023431A" w:rsidRPr="002968AE" w:rsidRDefault="0023431A" w:rsidP="000673E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68AE">
              <w:rPr>
                <w:rFonts w:asciiTheme="minorHAnsi" w:hAnsiTheme="minorHAnsi" w:cstheme="minorHAnsi"/>
                <w:sz w:val="20"/>
                <w:szCs w:val="20"/>
              </w:rPr>
              <w:t>0 – operacja nie jest innowacyjna</w:t>
            </w:r>
          </w:p>
        </w:tc>
        <w:tc>
          <w:tcPr>
            <w:tcW w:w="976" w:type="pct"/>
            <w:shd w:val="clear" w:color="auto" w:fill="auto"/>
          </w:tcPr>
          <w:p w:rsidR="0023431A" w:rsidRPr="00C546EE" w:rsidRDefault="003B7598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3 punktów uszczegółowiono na jakim obszarze operacja powinna być innowacyjna. Dodano m</w:t>
            </w:r>
            <w:r w:rsidR="00C546EE" w:rsidRPr="00C546EE">
              <w:rPr>
                <w:rFonts w:cstheme="minorHAnsi"/>
                <w:sz w:val="20"/>
                <w:szCs w:val="20"/>
              </w:rPr>
              <w:t>ożliwość  przyznania 1 punktu dla operacji o charakterze innowacyjnym na terenie gminy.</w:t>
            </w:r>
          </w:p>
          <w:p w:rsidR="00C546EE" w:rsidRPr="000A31B4" w:rsidRDefault="00C546EE" w:rsidP="00A154F4">
            <w:pPr>
              <w:pStyle w:val="Akapitzlist"/>
              <w:ind w:left="142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75" w:type="pct"/>
          </w:tcPr>
          <w:p w:rsidR="0023431A" w:rsidRPr="000A31B4" w:rsidRDefault="0023431A" w:rsidP="000673E7">
            <w:pPr>
              <w:pStyle w:val="Akapitzlist"/>
              <w:ind w:left="142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A154F4">
        <w:trPr>
          <w:trHeight w:val="1351"/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23431A" w:rsidRPr="001E4083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1E4083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3. Utworzenie nowych miejsc pracy</w:t>
            </w:r>
          </w:p>
        </w:tc>
        <w:tc>
          <w:tcPr>
            <w:tcW w:w="1220" w:type="pct"/>
            <w:shd w:val="clear" w:color="auto" w:fill="auto"/>
          </w:tcPr>
          <w:p w:rsidR="0023431A" w:rsidRPr="0023431A" w:rsidRDefault="0023431A" w:rsidP="0023431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431A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  <w:p w:rsidR="0023431A" w:rsidRPr="0023431A" w:rsidRDefault="0023431A" w:rsidP="0023431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3431A">
              <w:rPr>
                <w:rFonts w:asciiTheme="minorHAnsi" w:hAnsiTheme="minorHAnsi" w:cstheme="minorHAnsi"/>
                <w:sz w:val="20"/>
                <w:szCs w:val="20"/>
              </w:rPr>
              <w:t>5 – co najmniej 2 miejsca</w:t>
            </w:r>
          </w:p>
          <w:p w:rsidR="0023431A" w:rsidRPr="0023431A" w:rsidRDefault="0023431A" w:rsidP="0023431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7143">
              <w:rPr>
                <w:rFonts w:asciiTheme="minorHAnsi" w:hAnsiTheme="minorHAnsi" w:cstheme="minorHAnsi"/>
                <w:sz w:val="20"/>
                <w:szCs w:val="20"/>
              </w:rPr>
              <w:t>0 –</w:t>
            </w:r>
            <w:r w:rsidRPr="0023431A">
              <w:rPr>
                <w:rFonts w:asciiTheme="minorHAnsi" w:hAnsiTheme="minorHAnsi" w:cstheme="minorHAnsi"/>
                <w:sz w:val="20"/>
                <w:szCs w:val="20"/>
              </w:rPr>
              <w:t xml:space="preserve"> 1 miejsce pracy</w:t>
            </w:r>
          </w:p>
        </w:tc>
        <w:tc>
          <w:tcPr>
            <w:tcW w:w="1181" w:type="pct"/>
            <w:shd w:val="clear" w:color="auto" w:fill="auto"/>
          </w:tcPr>
          <w:p w:rsidR="0023431A" w:rsidRPr="0023431A" w:rsidRDefault="0023431A" w:rsidP="0023431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3431A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  <w:p w:rsidR="0023431A" w:rsidRPr="0023431A" w:rsidRDefault="0023431A" w:rsidP="0023431A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3431A">
              <w:rPr>
                <w:rFonts w:asciiTheme="minorHAnsi" w:hAnsiTheme="minorHAnsi" w:cstheme="minorHAnsi"/>
                <w:sz w:val="20"/>
                <w:szCs w:val="20"/>
              </w:rPr>
              <w:t>5 – co najmniej 2 miejsca</w:t>
            </w:r>
          </w:p>
          <w:p w:rsidR="0023431A" w:rsidRPr="0023431A" w:rsidRDefault="0023431A" w:rsidP="0023431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7143">
              <w:rPr>
                <w:rFonts w:asciiTheme="minorHAnsi" w:hAnsiTheme="minorHAnsi" w:cstheme="minorHAnsi"/>
                <w:sz w:val="20"/>
                <w:szCs w:val="20"/>
              </w:rPr>
              <w:t>0 –</w:t>
            </w:r>
            <w:r w:rsidRPr="002343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B02" w:rsidRPr="00F14B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B02" w:rsidRPr="00F14B0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 miejsce pracy</w:t>
            </w:r>
            <w:r w:rsidR="00F14B02" w:rsidRPr="00F14B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23431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mniej niż 2 miejsca pracy</w:t>
            </w:r>
          </w:p>
        </w:tc>
        <w:tc>
          <w:tcPr>
            <w:tcW w:w="976" w:type="pct"/>
            <w:shd w:val="clear" w:color="auto" w:fill="auto"/>
          </w:tcPr>
          <w:p w:rsidR="0023431A" w:rsidRPr="00C546EE" w:rsidRDefault="00D749B9" w:rsidP="00A154F4">
            <w:pPr>
              <w:pStyle w:val="Akapitzlist"/>
              <w:spacing w:after="0" w:line="240" w:lineRule="auto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Zmiana zapisu przy punktacji „0” w przypadku mniej niż 2 miejsca pracy</w:t>
            </w:r>
          </w:p>
        </w:tc>
        <w:tc>
          <w:tcPr>
            <w:tcW w:w="975" w:type="pct"/>
          </w:tcPr>
          <w:p w:rsidR="0023431A" w:rsidRPr="001E4083" w:rsidRDefault="0023431A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A154F4">
        <w:trPr>
          <w:jc w:val="center"/>
        </w:trPr>
        <w:tc>
          <w:tcPr>
            <w:tcW w:w="648" w:type="pct"/>
            <w:vMerge w:val="restart"/>
            <w:shd w:val="clear" w:color="auto" w:fill="auto"/>
            <w:vAlign w:val="center"/>
          </w:tcPr>
          <w:p w:rsidR="0023431A" w:rsidRPr="00E1357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E1357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4. Zastosowanie </w:t>
            </w:r>
            <w:r w:rsidRPr="00E1357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rozwiązań sprzyjających ochronie środowiska lub przeciwdziałanie zmianom klimatu</w:t>
            </w:r>
          </w:p>
        </w:tc>
        <w:tc>
          <w:tcPr>
            <w:tcW w:w="1220" w:type="pct"/>
            <w:shd w:val="clear" w:color="auto" w:fill="auto"/>
          </w:tcPr>
          <w:p w:rsidR="0023431A" w:rsidRPr="00E1357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E13571">
              <w:rPr>
                <w:rFonts w:cstheme="minorHAnsi"/>
                <w:sz w:val="20"/>
                <w:szCs w:val="20"/>
              </w:rPr>
              <w:lastRenderedPageBreak/>
              <w:t xml:space="preserve">Operacja przewiduje zastosowanie </w:t>
            </w:r>
            <w:r w:rsidRPr="00E13571">
              <w:rPr>
                <w:rFonts w:cstheme="minorHAnsi"/>
                <w:sz w:val="20"/>
                <w:szCs w:val="20"/>
              </w:rPr>
              <w:lastRenderedPageBreak/>
              <w:t>rozwiązań sprzyjających ochronie środowiska lub przeciwdziałanie zmianom klimatu.</w:t>
            </w:r>
          </w:p>
          <w:p w:rsidR="0023431A" w:rsidRPr="00E1357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E13571">
              <w:rPr>
                <w:rFonts w:cstheme="minorHAnsi"/>
                <w:i/>
                <w:sz w:val="20"/>
                <w:szCs w:val="20"/>
              </w:rPr>
              <w:t xml:space="preserve">W ramach kryterium preferowane będą operacje, których realizacja przyczyni się do inwestycji sprzyjających ochronie środowiska lub przeciwdziałania zmianom klimatu. Przykładowo mogą to być działania polegające na: zwiększaniu lub rewitalizowaniu terenów zieleni, </w:t>
            </w:r>
            <w:proofErr w:type="spellStart"/>
            <w:r w:rsidRPr="00E13571">
              <w:rPr>
                <w:rFonts w:cstheme="minorHAnsi"/>
                <w:i/>
                <w:sz w:val="20"/>
                <w:szCs w:val="20"/>
              </w:rPr>
              <w:t>nasadzeniach</w:t>
            </w:r>
            <w:proofErr w:type="spellEnd"/>
            <w:r w:rsidRPr="00E13571">
              <w:rPr>
                <w:rFonts w:cstheme="minorHAnsi"/>
                <w:i/>
                <w:sz w:val="20"/>
                <w:szCs w:val="20"/>
              </w:rPr>
              <w:t xml:space="preserve"> drzew, krzewów, roślin, poprawie małej retencji, wymianie szczelnych gruntów na przepuszczalne, wykorzystanie odnawialnych źródeł energii, przeciwdziałanie  emisji  gazów, zastosowanie rozwiązań gwarantujących oszczędność surowcową, energooszczędność, oszczędność wody,  tworzenie tzw. „zielonych” miejsc pracy </w:t>
            </w:r>
            <w:proofErr w:type="spellStart"/>
            <w:r w:rsidRPr="00E13571">
              <w:rPr>
                <w:rFonts w:cstheme="minorHAnsi"/>
                <w:i/>
                <w:sz w:val="20"/>
                <w:szCs w:val="20"/>
              </w:rPr>
              <w:t>itp</w:t>
            </w:r>
            <w:proofErr w:type="spellEnd"/>
            <w:r w:rsidRPr="00E13571">
              <w:rPr>
                <w:rFonts w:cstheme="minorHAnsi"/>
                <w:i/>
                <w:sz w:val="20"/>
                <w:szCs w:val="20"/>
              </w:rPr>
              <w:t>…</w:t>
            </w:r>
          </w:p>
          <w:p w:rsidR="0023431A" w:rsidRPr="00E13571" w:rsidRDefault="0023431A" w:rsidP="000673E7">
            <w:pPr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i/>
                <w:sz w:val="20"/>
                <w:szCs w:val="20"/>
              </w:rPr>
              <w:t>Kryterium weryfikowane  będzie  na  podstawie  zapisów w dokumentach aplikacyjnych, popartych załączonymi dokumentami i materiałami poświadczającymi, że zastosowane rozwiązania mają taki charakter.</w:t>
            </w:r>
          </w:p>
          <w:p w:rsidR="0023431A" w:rsidRPr="00E13571" w:rsidRDefault="0023431A" w:rsidP="000673E7">
            <w:pPr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23431A" w:rsidRPr="00E13571" w:rsidRDefault="0023431A" w:rsidP="000673E7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Członek Rady może przyznać punkty w jednej z kategorii.</w:t>
            </w:r>
          </w:p>
          <w:p w:rsidR="0023431A" w:rsidRPr="00E13571" w:rsidRDefault="0023431A" w:rsidP="000673E7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3431A" w:rsidRPr="00E1357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E13571">
              <w:rPr>
                <w:rFonts w:cstheme="minorHAnsi"/>
                <w:sz w:val="20"/>
                <w:szCs w:val="20"/>
              </w:rPr>
              <w:lastRenderedPageBreak/>
              <w:t xml:space="preserve">Operacja przewiduje zastosowanie </w:t>
            </w:r>
            <w:r w:rsidRPr="00E13571">
              <w:rPr>
                <w:rFonts w:cstheme="minorHAnsi"/>
                <w:sz w:val="20"/>
                <w:szCs w:val="20"/>
              </w:rPr>
              <w:lastRenderedPageBreak/>
              <w:t>rozwiązań sprzyjających ochronie środowiska lub przeciwdziałanie zmianom klimatu.</w:t>
            </w:r>
          </w:p>
          <w:p w:rsidR="0023431A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E13571">
              <w:rPr>
                <w:rFonts w:cstheme="minorHAnsi"/>
                <w:i/>
                <w:sz w:val="20"/>
                <w:szCs w:val="20"/>
              </w:rPr>
              <w:t xml:space="preserve">W ramach kryterium preferowane będą operacje, których realizacja przyczyni się do inwestycji sprzyjających ochronie środowiska lub przeciwdziałania zmianom klimatu. Przykładowo mogą to być działania polegające na: </w:t>
            </w:r>
            <w:r w:rsidRPr="00E13571">
              <w:rPr>
                <w:rFonts w:cstheme="minorHAnsi"/>
                <w:i/>
                <w:color w:val="FF0000"/>
                <w:sz w:val="20"/>
                <w:szCs w:val="20"/>
              </w:rPr>
              <w:t xml:space="preserve">utworzeniu i </w:t>
            </w:r>
            <w:r w:rsidRPr="00E13571">
              <w:rPr>
                <w:rFonts w:cstheme="minorHAnsi"/>
                <w:i/>
                <w:sz w:val="20"/>
                <w:szCs w:val="20"/>
              </w:rPr>
              <w:t>zwiększaniu lub rewitalizowaniu terenów zieleni,</w:t>
            </w:r>
            <w:r w:rsidR="009442F6">
              <w:t xml:space="preserve"> </w:t>
            </w:r>
            <w:proofErr w:type="spellStart"/>
            <w:r w:rsidR="009442F6" w:rsidRPr="009442F6">
              <w:rPr>
                <w:rFonts w:cstheme="minorHAnsi"/>
                <w:strike/>
                <w:color w:val="FF0000"/>
                <w:sz w:val="20"/>
                <w:szCs w:val="20"/>
              </w:rPr>
              <w:t>nasadzeniach</w:t>
            </w:r>
            <w:proofErr w:type="spellEnd"/>
            <w:r w:rsidR="009442F6" w:rsidRPr="009442F6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drzew, krzewów, roślin</w:t>
            </w:r>
            <w:r w:rsidRPr="009442F6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</w:t>
            </w:r>
            <w:r w:rsidRPr="00E13571">
              <w:rPr>
                <w:rFonts w:cstheme="minorHAnsi"/>
                <w:i/>
                <w:sz w:val="20"/>
                <w:szCs w:val="20"/>
              </w:rPr>
              <w:t xml:space="preserve">poprawie małej retencji, wymianie szczelnych gruntów na przepuszczalne, wykorzystanie odnawialnych źródeł energii, przeciwdziałanie  emisji  gazów,  oszczędność wody,  tworzenie tzw. „zielonych” miejsc pracy </w:t>
            </w:r>
            <w:proofErr w:type="spellStart"/>
            <w:r w:rsidRPr="00E13571">
              <w:rPr>
                <w:rFonts w:cstheme="minorHAnsi"/>
                <w:i/>
                <w:sz w:val="20"/>
                <w:szCs w:val="20"/>
              </w:rPr>
              <w:t>itp</w:t>
            </w:r>
            <w:proofErr w:type="spellEnd"/>
            <w:r w:rsidRPr="00E13571">
              <w:rPr>
                <w:rFonts w:cstheme="minorHAnsi"/>
                <w:i/>
                <w:sz w:val="20"/>
                <w:szCs w:val="20"/>
              </w:rPr>
              <w:t>…</w:t>
            </w:r>
          </w:p>
          <w:p w:rsidR="003B7598" w:rsidRPr="00E13571" w:rsidRDefault="003B7598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3B7598">
              <w:rPr>
                <w:rFonts w:cstheme="minorHAnsi"/>
                <w:i/>
                <w:color w:val="FF0000"/>
                <w:sz w:val="20"/>
                <w:szCs w:val="20"/>
              </w:rPr>
              <w:t>Punkty zostaną przyznane jeśli beneficjent uwzględni w budżecie poniesienie kosztów związanych z zastosowaniem takich rozwiązań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23431A" w:rsidRPr="00E13571" w:rsidRDefault="0023431A" w:rsidP="000673E7">
            <w:pPr>
              <w:ind w:left="0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Kryterium weryfikowane  będzie  na  podstawie  zapisów w dokumentach aplikacyjnych, popartych załączonymi dokumentami i materiałami poświadczającymi, że zastosowane rozwiązania mają taki charakter </w:t>
            </w:r>
            <w:r w:rsidRPr="00E1357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mają odzwierciedlenie w budżecie.</w:t>
            </w:r>
          </w:p>
          <w:p w:rsidR="0023431A" w:rsidRPr="00E13571" w:rsidRDefault="0023431A" w:rsidP="000673E7">
            <w:pPr>
              <w:ind w:left="0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Rada nie będzie przyznawała punktów w tym kryterium za urządzenia nowe, dla których takie parametry są standardowe.</w:t>
            </w:r>
          </w:p>
          <w:p w:rsidR="0023431A" w:rsidRPr="00E13571" w:rsidRDefault="0023431A" w:rsidP="000673E7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Członek Rady może przyznać punkty w </w:t>
            </w:r>
            <w:r w:rsidRPr="00E1357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lastRenderedPageBreak/>
              <w:t>jednej z kategorii.</w:t>
            </w:r>
          </w:p>
          <w:p w:rsidR="0023431A" w:rsidRPr="00E13571" w:rsidRDefault="0023431A" w:rsidP="000673E7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:rsidR="0023431A" w:rsidRDefault="00A2390B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Dodano możliwość </w:t>
            </w:r>
            <w:r>
              <w:rPr>
                <w:rFonts w:cstheme="minorHAnsi"/>
                <w:sz w:val="20"/>
                <w:szCs w:val="20"/>
              </w:rPr>
              <w:lastRenderedPageBreak/>
              <w:t>przeprowadzenia działań polegających na „utworzeniu”.</w:t>
            </w:r>
          </w:p>
          <w:p w:rsidR="00F14B02" w:rsidRDefault="00F14B02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Usunięto zapisy o działaniach polegających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nasadzeniach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drzew, krzewów i  roślin ze względu na niedoprecyzowany zapis o wielkości nasadzeń, który budził wątpliwości  w przypadku nasadzeń pojedynczych roślin.</w:t>
            </w:r>
          </w:p>
          <w:p w:rsidR="00A2390B" w:rsidRDefault="00A2390B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celu weryfikacji czy wnioskodawca zrealizuje deklarowane działania dodano informacje o zapisach w budżecie.</w:t>
            </w:r>
          </w:p>
          <w:p w:rsidR="00A2390B" w:rsidRPr="008F6A8B" w:rsidRDefault="00A2390B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Zaznaczono, że </w:t>
            </w:r>
            <w:r w:rsidR="00D14D67">
              <w:rPr>
                <w:rFonts w:cstheme="minorHAnsi"/>
                <w:sz w:val="20"/>
                <w:szCs w:val="20"/>
              </w:rPr>
              <w:t>Rada nie będzie przyznawać punktów za parametry</w:t>
            </w:r>
            <w:r w:rsidR="00F14B02">
              <w:rPr>
                <w:rFonts w:cstheme="minorHAnsi"/>
                <w:sz w:val="20"/>
                <w:szCs w:val="20"/>
              </w:rPr>
              <w:t xml:space="preserve"> które są w </w:t>
            </w:r>
            <w:r w:rsidR="00D14D67">
              <w:rPr>
                <w:rFonts w:cstheme="minorHAnsi"/>
                <w:sz w:val="20"/>
                <w:szCs w:val="20"/>
              </w:rPr>
              <w:t xml:space="preserve"> standard</w:t>
            </w:r>
            <w:r w:rsidR="00F14B02">
              <w:rPr>
                <w:rFonts w:cstheme="minorHAnsi"/>
                <w:sz w:val="20"/>
                <w:szCs w:val="20"/>
              </w:rPr>
              <w:t>zie</w:t>
            </w:r>
            <w:r w:rsidR="00D14D6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</w:tcPr>
          <w:p w:rsidR="0023431A" w:rsidRPr="001E4083" w:rsidRDefault="0023431A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A154F4">
        <w:trPr>
          <w:jc w:val="center"/>
        </w:trPr>
        <w:tc>
          <w:tcPr>
            <w:tcW w:w="648" w:type="pct"/>
            <w:vMerge/>
            <w:shd w:val="clear" w:color="auto" w:fill="auto"/>
            <w:vAlign w:val="center"/>
          </w:tcPr>
          <w:p w:rsidR="0023431A" w:rsidRPr="001E4083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p w:rsidR="0023431A" w:rsidRPr="00E13571" w:rsidRDefault="0023431A" w:rsidP="000673E7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sz w:val="20"/>
                <w:szCs w:val="20"/>
              </w:rPr>
              <w:t>Max 3</w:t>
            </w:r>
          </w:p>
          <w:p w:rsidR="0023431A" w:rsidRPr="00E1357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1357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3 - przewiduje działania inwestycyjne sprzyjające ochronie środowiska lub przeciwdziałanie zmianom klimatu </w:t>
            </w:r>
          </w:p>
          <w:p w:rsidR="0023431A" w:rsidRPr="00E1357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sz w:val="20"/>
                <w:szCs w:val="20"/>
              </w:rPr>
              <w:t>0 – operacja nie przewiduje zastosowanie rozwiązań sprzyjających ochronie środowiska lub przeciwdziałaniu zmianom klimatu</w:t>
            </w:r>
          </w:p>
        </w:tc>
        <w:tc>
          <w:tcPr>
            <w:tcW w:w="1181" w:type="pct"/>
            <w:shd w:val="clear" w:color="auto" w:fill="auto"/>
          </w:tcPr>
          <w:p w:rsidR="0023431A" w:rsidRPr="00E13571" w:rsidRDefault="0023431A" w:rsidP="000673E7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sz w:val="20"/>
                <w:szCs w:val="20"/>
              </w:rPr>
              <w:t>Max 3</w:t>
            </w:r>
          </w:p>
          <w:p w:rsidR="0023431A" w:rsidRPr="00E1357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E1357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3 - przewiduje działania </w:t>
            </w:r>
            <w:r w:rsidRPr="00D41ED3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  <w:lang w:eastAsia="ar-SA"/>
              </w:rPr>
              <w:t>inwestycyjne sprzyjające ochronie środowiska lub przeciwdziałanie zmianom klimatu</w:t>
            </w:r>
            <w:r w:rsidRPr="00D41ED3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90878" w:rsidRPr="00D90878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uwzględnione w budżecie na poziomie min. </w:t>
            </w:r>
            <w:r w:rsidRPr="00D90878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5%</w:t>
            </w:r>
            <w:r w:rsidR="00D90878" w:rsidRPr="00D90878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90878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od wnioskowanej kwoty</w:t>
            </w:r>
          </w:p>
          <w:p w:rsidR="0023431A" w:rsidRPr="00E1357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E13571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1 –</w:t>
            </w:r>
            <w:r w:rsidR="00D90878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 przewiduje działania inwestycyjne sprzyjające ochronie środowiska lub przeciwdziałaniu zmianom klimatu uwzględnione w budżecie na poziomie </w:t>
            </w:r>
            <w:r w:rsidRPr="00E13571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 2%</w:t>
            </w:r>
            <w:r w:rsidR="00D90878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 od wnioskowanej kwoty</w:t>
            </w:r>
          </w:p>
          <w:p w:rsidR="0023431A" w:rsidRPr="00E1357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3571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D41ED3">
              <w:rPr>
                <w:rFonts w:asciiTheme="minorHAnsi" w:hAnsiTheme="minorHAnsi" w:cstheme="minorHAnsi"/>
                <w:sz w:val="20"/>
                <w:szCs w:val="20"/>
              </w:rPr>
              <w:t xml:space="preserve"> żadne z powyższych </w:t>
            </w:r>
            <w:r w:rsidRPr="00D41E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operacja nie przewiduje zastosowanie rozwiązań sprzyjających ochronie środowiska lub przeciwdziałaniu zmianom klimatu</w:t>
            </w:r>
          </w:p>
        </w:tc>
        <w:tc>
          <w:tcPr>
            <w:tcW w:w="976" w:type="pct"/>
            <w:shd w:val="clear" w:color="auto" w:fill="auto"/>
          </w:tcPr>
          <w:p w:rsidR="0023431A" w:rsidRPr="00D14D67" w:rsidRDefault="00D14D67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 w:rsidRPr="00D14D67">
              <w:rPr>
                <w:rFonts w:cstheme="minorHAnsi"/>
                <w:sz w:val="20"/>
                <w:szCs w:val="20"/>
              </w:rPr>
              <w:t xml:space="preserve">W celu weryfikacji czy wnioskodawca zrealizuje deklarowane działania dodano </w:t>
            </w:r>
            <w:r>
              <w:rPr>
                <w:rFonts w:cstheme="minorHAnsi"/>
                <w:sz w:val="20"/>
                <w:szCs w:val="20"/>
              </w:rPr>
              <w:t>poziom procentowy za który można otrzymać punkty</w:t>
            </w:r>
            <w:r w:rsidR="00D90878">
              <w:rPr>
                <w:rFonts w:cstheme="minorHAnsi"/>
                <w:sz w:val="20"/>
                <w:szCs w:val="20"/>
              </w:rPr>
              <w:t>. Dodatkowo dano możliwość przyznania jednego punktu.</w:t>
            </w:r>
          </w:p>
        </w:tc>
        <w:tc>
          <w:tcPr>
            <w:tcW w:w="975" w:type="pct"/>
          </w:tcPr>
          <w:p w:rsidR="0023431A" w:rsidRDefault="0023431A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183AF6" w:rsidRDefault="00183AF6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183AF6" w:rsidRDefault="00183AF6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183AF6" w:rsidRDefault="00183AF6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183AF6" w:rsidRPr="001E4083" w:rsidRDefault="00183AF6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46AC5" w:rsidRPr="001E4083" w:rsidTr="00A154F4">
        <w:trPr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E46AC5" w:rsidRPr="00E46AC5" w:rsidRDefault="00D221B8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trike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t xml:space="preserve">5. </w:t>
            </w:r>
            <w:r w:rsidR="00E46AC5" w:rsidRPr="00E46AC5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t>Wkład własny</w:t>
            </w:r>
          </w:p>
        </w:tc>
        <w:tc>
          <w:tcPr>
            <w:tcW w:w="1220" w:type="pct"/>
            <w:shd w:val="clear" w:color="auto" w:fill="auto"/>
          </w:tcPr>
          <w:p w:rsidR="00E46AC5" w:rsidRPr="00E46AC5" w:rsidRDefault="00E46AC5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E46AC5">
              <w:rPr>
                <w:bCs/>
                <w:strike/>
                <w:color w:val="FF0000"/>
                <w:sz w:val="20"/>
                <w:szCs w:val="20"/>
              </w:rPr>
              <w:t xml:space="preserve">Wkład własny wnioskodawcy przekracza intensywność pomocy programu dla określonego wnioskodawcy </w:t>
            </w:r>
          </w:p>
        </w:tc>
        <w:tc>
          <w:tcPr>
            <w:tcW w:w="1181" w:type="pct"/>
            <w:shd w:val="clear" w:color="auto" w:fill="auto"/>
          </w:tcPr>
          <w:p w:rsidR="00E46AC5" w:rsidRPr="00E46AC5" w:rsidRDefault="00E46AC5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E46AC5">
              <w:rPr>
                <w:strike/>
                <w:color w:val="FF0000"/>
                <w:sz w:val="20"/>
                <w:szCs w:val="20"/>
              </w:rPr>
              <w:t xml:space="preserve">Wkład własny wnioskodawcy przekracza intensywność pomocy programu dla określonego wnioskodawcy. </w:t>
            </w:r>
          </w:p>
          <w:p w:rsidR="00E46AC5" w:rsidRPr="00E46AC5" w:rsidRDefault="00E46AC5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E46AC5">
              <w:rPr>
                <w:strike/>
                <w:color w:val="FF0000"/>
                <w:sz w:val="20"/>
                <w:szCs w:val="20"/>
              </w:rPr>
              <w:t xml:space="preserve">W ramach kryterium preferowane będą operacje, w których wkład własny wnioskodawcy przekracza intensywność pomocy programu dla określonego wnioskodawcy. </w:t>
            </w:r>
          </w:p>
          <w:p w:rsidR="00E46AC5" w:rsidRPr="00E46AC5" w:rsidRDefault="00E46AC5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E46AC5">
              <w:rPr>
                <w:i/>
                <w:iCs/>
                <w:strike/>
                <w:color w:val="FF0000"/>
                <w:sz w:val="20"/>
                <w:szCs w:val="20"/>
              </w:rPr>
              <w:t xml:space="preserve">Kryterium weryfikowane będzie na podstawie zapisów w dokumentach aplikacyjnych. </w:t>
            </w:r>
          </w:p>
          <w:p w:rsidR="00E46AC5" w:rsidRPr="00E46AC5" w:rsidRDefault="00E46AC5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r w:rsidRPr="00E46AC5">
              <w:rPr>
                <w:i/>
                <w:iCs/>
                <w:strike/>
                <w:color w:val="FF0000"/>
                <w:sz w:val="20"/>
                <w:szCs w:val="20"/>
              </w:rPr>
              <w:t xml:space="preserve">Członek Rady może przyznać punkty w jednej z kategorii. </w:t>
            </w:r>
          </w:p>
        </w:tc>
        <w:tc>
          <w:tcPr>
            <w:tcW w:w="976" w:type="pct"/>
            <w:shd w:val="clear" w:color="auto" w:fill="auto"/>
          </w:tcPr>
          <w:p w:rsidR="004C3293" w:rsidRDefault="00AD12DF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Według oceny Rady u</w:t>
            </w:r>
            <w:r w:rsidR="00E46AC5">
              <w:rPr>
                <w:rFonts w:cstheme="minorHAnsi"/>
                <w:sz w:val="20"/>
                <w:szCs w:val="20"/>
              </w:rPr>
              <w:t xml:space="preserve">sunięcie tego kryterium nie ma dużego znaczenie dla realizowanej operacji tzn. </w:t>
            </w:r>
            <w:r w:rsidR="004C3293">
              <w:rPr>
                <w:rFonts w:cstheme="minorHAnsi"/>
                <w:sz w:val="20"/>
                <w:szCs w:val="20"/>
              </w:rPr>
              <w:t>w żaden sposób nie wpływa na LSR, jej realizację i wskaźniki.</w:t>
            </w:r>
          </w:p>
          <w:p w:rsidR="00E46AC5" w:rsidRPr="00D14D67" w:rsidRDefault="004C3293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Kryterium nie było wymagane na etapie wyboru LSR do realizacji przez Urząd Marszałkowski </w:t>
            </w:r>
          </w:p>
        </w:tc>
        <w:tc>
          <w:tcPr>
            <w:tcW w:w="975" w:type="pct"/>
          </w:tcPr>
          <w:p w:rsidR="00E46AC5" w:rsidRDefault="00E46AC5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927C63">
        <w:trPr>
          <w:trHeight w:val="5802"/>
          <w:jc w:val="center"/>
        </w:trPr>
        <w:tc>
          <w:tcPr>
            <w:tcW w:w="648" w:type="pct"/>
            <w:vMerge w:val="restart"/>
            <w:shd w:val="clear" w:color="auto" w:fill="auto"/>
            <w:vAlign w:val="center"/>
          </w:tcPr>
          <w:p w:rsidR="0023431A" w:rsidRPr="00E13571" w:rsidRDefault="00BC1237" w:rsidP="00D221B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221B8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lastRenderedPageBreak/>
              <w:t>5</w:t>
            </w:r>
            <w:r w:rsidR="00D221B8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221B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ar-SA"/>
              </w:rPr>
              <w:t xml:space="preserve">  6.</w:t>
            </w:r>
            <w:r w:rsidR="0023431A" w:rsidRPr="00E1357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Promowanie operacji</w:t>
            </w:r>
          </w:p>
        </w:tc>
        <w:tc>
          <w:tcPr>
            <w:tcW w:w="1220" w:type="pct"/>
            <w:shd w:val="clear" w:color="auto" w:fill="auto"/>
          </w:tcPr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E58E1">
              <w:rPr>
                <w:rFonts w:cstheme="minorHAnsi"/>
                <w:sz w:val="20"/>
                <w:szCs w:val="20"/>
              </w:rPr>
              <w:t>Operacja przewiduje działania promujące projekt.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23431A" w:rsidRPr="00CE58E1" w:rsidRDefault="0023431A" w:rsidP="000673E7">
            <w:pPr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ramach kryterium preferowane będą operacje zakładają działania promujące projekt oraz jego efekty z wykorzystaniem różnorodnych narzędzi np. strony </w:t>
            </w:r>
            <w:hyperlink r:id="rId6" w:history="1">
              <w:r w:rsidRPr="00CE58E1">
                <w:rPr>
                  <w:rStyle w:val="Hipercze"/>
                  <w:rFonts w:asciiTheme="minorHAnsi" w:hAnsiTheme="minorHAnsi" w:cstheme="minorHAnsi"/>
                  <w:i/>
                  <w:sz w:val="20"/>
                  <w:szCs w:val="20"/>
                </w:rPr>
                <w:t>www organizacji</w:t>
              </w:r>
            </w:hyperlink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podmiotu, gminy,  </w:t>
            </w:r>
            <w:proofErr w:type="spellStart"/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>facebook</w:t>
            </w:r>
            <w:proofErr w:type="spellEnd"/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prasa, portale czy prasa branżowa(turystyczna) itd. Różne narzędzia oznaczają </w:t>
            </w:r>
            <w:proofErr w:type="spellStart"/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>np</w:t>
            </w:r>
            <w:proofErr w:type="spellEnd"/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Internet i prasę drukowaną .Promocja będzie odbywać się z wykorzystaniem  logo  LGD Kwiat Lnu. Kryterium weryfikowane będzie na podstawie zapisów we wniosku. 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CE58E1">
              <w:rPr>
                <w:rFonts w:cstheme="minorHAnsi"/>
                <w:i/>
                <w:sz w:val="20"/>
                <w:szCs w:val="20"/>
                <w:u w:val="single"/>
              </w:rPr>
              <w:t>Członek Rady może przyznać punkty w jednej z kategorii</w:t>
            </w:r>
            <w:r w:rsidRPr="00CE58E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23431A" w:rsidRPr="003811B9" w:rsidRDefault="0023431A" w:rsidP="000673E7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E58E1">
              <w:rPr>
                <w:rFonts w:cstheme="minorHAnsi"/>
                <w:sz w:val="20"/>
                <w:szCs w:val="20"/>
              </w:rPr>
              <w:t>Operacja przewiduje działania promujące projekt.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D41ED3" w:rsidRDefault="0023431A" w:rsidP="00D41ED3">
            <w:pPr>
              <w:spacing w:before="0" w:after="0"/>
              <w:ind w:left="0" w:right="8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>W ramach kryterium preferowane będą operacje</w:t>
            </w:r>
            <w:r w:rsidR="001E5CC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1E5CC3" w:rsidRPr="001E5C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które</w:t>
            </w:r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zakładają działania promujące projekt oraz jego efekty z wykorzystaniem różnorodnych narzędzi </w:t>
            </w:r>
          </w:p>
          <w:p w:rsidR="00D41ED3" w:rsidRPr="00D41ED3" w:rsidRDefault="00D41ED3" w:rsidP="00D41ED3">
            <w:pPr>
              <w:spacing w:before="0" w:after="0"/>
              <w:ind w:left="0" w:right="85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D41E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np. strony </w:t>
            </w:r>
            <w:hyperlink r:id="rId7" w:history="1">
              <w:r w:rsidRPr="00D41ED3">
                <w:rPr>
                  <w:rStyle w:val="Hipercze"/>
                  <w:rFonts w:asciiTheme="minorHAnsi" w:hAnsiTheme="minorHAnsi" w:cstheme="minorHAnsi"/>
                  <w:strike/>
                  <w:color w:val="FF0000"/>
                  <w:sz w:val="20"/>
                  <w:szCs w:val="20"/>
                </w:rPr>
                <w:t>www organizacji</w:t>
              </w:r>
            </w:hyperlink>
            <w:r w:rsidRPr="00D41E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, podmiotu, gminy,  </w:t>
            </w:r>
            <w:proofErr w:type="spellStart"/>
            <w:r w:rsidRPr="00D41E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facebook</w:t>
            </w:r>
            <w:proofErr w:type="spellEnd"/>
            <w:r w:rsidRPr="00D41E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, prasa, portale czy prasa branżowa(turystyczna) itd. Różne narzędzia oznaczają </w:t>
            </w:r>
            <w:proofErr w:type="spellStart"/>
            <w:r w:rsidRPr="00D41E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np</w:t>
            </w:r>
            <w:proofErr w:type="spellEnd"/>
            <w:r w:rsidRPr="00D41ED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: Internet i prasę drukowaną .Promocja będzie odbywać się z wykorzystaniem  logo  LGD Kwiat Lnu.</w:t>
            </w:r>
          </w:p>
          <w:p w:rsidR="001E5CC3" w:rsidRPr="001E5CC3" w:rsidRDefault="0023431A" w:rsidP="00D41ED3">
            <w:pPr>
              <w:spacing w:before="0" w:after="0"/>
              <w:ind w:left="0" w:right="85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np. </w:t>
            </w:r>
            <w:r w:rsidR="001E5CC3" w:rsidRPr="001E5C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1. </w:t>
            </w:r>
            <w:r w:rsidR="004411F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Internet (</w:t>
            </w:r>
            <w:r w:rsidR="001E5CC3" w:rsidRPr="001E5C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strona www wnioskodawcy itp.) 2. lokalne portale informacyjne 3. telewizja, 4. radio, 5. prasa drukowana</w:t>
            </w:r>
            <w:r w:rsidR="00D41ED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itp.</w:t>
            </w:r>
            <w:r w:rsidR="001E5CC3" w:rsidRPr="001E5CC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6. wykonana tablica informacyjna i inne. </w:t>
            </w:r>
          </w:p>
          <w:p w:rsidR="0023431A" w:rsidRPr="00CE58E1" w:rsidRDefault="0023431A" w:rsidP="000673E7">
            <w:pPr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Kryterium weryfikowane będzie na podstawie zapisów we wniosku. 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CE58E1">
              <w:rPr>
                <w:rFonts w:cstheme="minorHAnsi"/>
                <w:i/>
                <w:sz w:val="20"/>
                <w:szCs w:val="20"/>
                <w:u w:val="single"/>
              </w:rPr>
              <w:t>Członek Rady może przyznać punkty w jednej z kategorii</w:t>
            </w:r>
            <w:r w:rsidRPr="00CE58E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23431A" w:rsidRPr="004B3067" w:rsidRDefault="0023431A" w:rsidP="000673E7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shd w:val="clear" w:color="auto" w:fill="auto"/>
          </w:tcPr>
          <w:p w:rsidR="0023431A" w:rsidRPr="00D14D67" w:rsidRDefault="00D14D67" w:rsidP="000673E7">
            <w:pPr>
              <w:pStyle w:val="Akapitzlist"/>
              <w:ind w:left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Pierwotny zapis zawierał niedokładne </w:t>
            </w:r>
            <w:r w:rsidR="00B94B4F">
              <w:rPr>
                <w:rFonts w:cstheme="minorHAnsi"/>
                <w:sz w:val="20"/>
                <w:szCs w:val="20"/>
              </w:rPr>
              <w:t>zapisy dotyczące różnorodnych narzędzi promocji. W proponowanym zapisie są one podzielone na grupy</w:t>
            </w:r>
            <w:r w:rsidR="003E5C60">
              <w:rPr>
                <w:rFonts w:cstheme="minorHAnsi"/>
                <w:sz w:val="20"/>
                <w:szCs w:val="20"/>
              </w:rPr>
              <w:t xml:space="preserve"> narzędzi</w:t>
            </w:r>
            <w:r w:rsidR="00B94B4F">
              <w:rPr>
                <w:rFonts w:cstheme="minorHAnsi"/>
                <w:sz w:val="20"/>
                <w:szCs w:val="20"/>
              </w:rPr>
              <w:t xml:space="preserve"> na których zależy L</w:t>
            </w:r>
            <w:r w:rsidR="003E5C60">
              <w:rPr>
                <w:rFonts w:cstheme="minorHAnsi"/>
                <w:sz w:val="20"/>
                <w:szCs w:val="20"/>
              </w:rPr>
              <w:t xml:space="preserve">okalnej </w:t>
            </w:r>
            <w:r w:rsidR="00B94B4F">
              <w:rPr>
                <w:rFonts w:cstheme="minorHAnsi"/>
                <w:sz w:val="20"/>
                <w:szCs w:val="20"/>
              </w:rPr>
              <w:t>G</w:t>
            </w:r>
            <w:r w:rsidR="003E5C60">
              <w:rPr>
                <w:rFonts w:cstheme="minorHAnsi"/>
                <w:sz w:val="20"/>
                <w:szCs w:val="20"/>
              </w:rPr>
              <w:t xml:space="preserve">rupy </w:t>
            </w:r>
            <w:r w:rsidR="00B94B4F">
              <w:rPr>
                <w:rFonts w:cstheme="minorHAnsi"/>
                <w:sz w:val="20"/>
                <w:szCs w:val="20"/>
              </w:rPr>
              <w:t>D</w:t>
            </w:r>
            <w:r w:rsidR="003E5C60">
              <w:rPr>
                <w:rFonts w:cstheme="minorHAnsi"/>
                <w:sz w:val="20"/>
                <w:szCs w:val="20"/>
              </w:rPr>
              <w:t>ziałania</w:t>
            </w:r>
          </w:p>
        </w:tc>
        <w:tc>
          <w:tcPr>
            <w:tcW w:w="975" w:type="pct"/>
          </w:tcPr>
          <w:p w:rsidR="0023431A" w:rsidRPr="001E4083" w:rsidRDefault="0023431A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A154F4">
        <w:trPr>
          <w:jc w:val="center"/>
        </w:trPr>
        <w:tc>
          <w:tcPr>
            <w:tcW w:w="648" w:type="pct"/>
            <w:vMerge/>
            <w:shd w:val="clear" w:color="auto" w:fill="auto"/>
            <w:vAlign w:val="center"/>
          </w:tcPr>
          <w:p w:rsidR="0023431A" w:rsidRPr="001E4083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p w:rsidR="0023431A" w:rsidRPr="00D00B57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B57">
              <w:rPr>
                <w:rFonts w:asciiTheme="minorHAnsi" w:hAnsiTheme="minorHAnsi" w:cstheme="minorHAnsi"/>
                <w:sz w:val="20"/>
                <w:szCs w:val="20"/>
              </w:rPr>
              <w:t>Max 2</w:t>
            </w:r>
          </w:p>
          <w:p w:rsidR="0023431A" w:rsidRPr="00D00B57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D00B5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 – promocja z wykorzystaniem co najmniej 4 różnych narzędzi  i logo LGD Kwiat Lnu</w:t>
            </w:r>
          </w:p>
          <w:p w:rsidR="0023431A" w:rsidRPr="00D00B57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0B5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0 –operacja nie przewiduje żadnego działania promocyjnego</w:t>
            </w:r>
          </w:p>
        </w:tc>
        <w:tc>
          <w:tcPr>
            <w:tcW w:w="1181" w:type="pct"/>
            <w:shd w:val="clear" w:color="auto" w:fill="auto"/>
          </w:tcPr>
          <w:p w:rsidR="0023431A" w:rsidRPr="00D00B57" w:rsidRDefault="00927C63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27C6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Max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3AF6">
              <w:rPr>
                <w:rFonts w:asciiTheme="minorHAnsi" w:hAnsiTheme="minorHAnsi" w:cstheme="minorHAnsi"/>
                <w:sz w:val="20"/>
                <w:szCs w:val="20"/>
              </w:rPr>
              <w:t>Max 3</w:t>
            </w:r>
          </w:p>
          <w:p w:rsidR="0023431A" w:rsidRPr="00C76A45" w:rsidRDefault="00183AF6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</w:t>
            </w:r>
            <w:r w:rsidR="0023431A" w:rsidRPr="00D00B5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– promocja z w</w:t>
            </w:r>
            <w:r w:rsidR="0023431A" w:rsidRPr="003811B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ykorzyst</w:t>
            </w:r>
            <w:r w:rsidR="0023431A" w:rsidRPr="00D00B5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aniem </w:t>
            </w:r>
            <w:r w:rsidR="0023431A" w:rsidRPr="00C76A4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ar-SA"/>
              </w:rPr>
              <w:t>co najmniej</w:t>
            </w:r>
            <w:r w:rsidR="001A2B0B" w:rsidRPr="00C76A4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C76A45" w:rsidRPr="00C76A4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ar-SA"/>
              </w:rPr>
              <w:t>4</w:t>
            </w:r>
            <w:r w:rsidR="00C76A45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 , co najmniej </w:t>
            </w:r>
            <w:r w:rsidR="00C76A45" w:rsidRPr="00C76A45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 xml:space="preserve">3 </w:t>
            </w:r>
            <w:r w:rsidR="0023431A" w:rsidRPr="00C76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23431A" w:rsidRPr="001A2B0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różnych </w:t>
            </w:r>
            <w:r w:rsidR="0023431A" w:rsidRPr="00D00B5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narzędzi  i logo LGD Kwiat Lnu</w:t>
            </w:r>
          </w:p>
          <w:p w:rsidR="00927C63" w:rsidRPr="00927C63" w:rsidRDefault="0023431A" w:rsidP="001E5CC3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ar-SA"/>
              </w:rPr>
            </w:pPr>
            <w:r w:rsidRPr="00D00B5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0 –</w:t>
            </w:r>
            <w:r w:rsidR="00927C63">
              <w:t xml:space="preserve"> </w:t>
            </w:r>
            <w:r w:rsidR="00927C63" w:rsidRPr="00927C6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  <w:lang w:eastAsia="ar-SA"/>
              </w:rPr>
              <w:t>operacja nie przewiduje żadnego działania promocyjnego</w:t>
            </w:r>
          </w:p>
          <w:p w:rsidR="0023431A" w:rsidRPr="00D00B57" w:rsidRDefault="00927C63" w:rsidP="001E5CC3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1E5CC3" w:rsidRPr="001E5C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ar-SA"/>
              </w:rPr>
              <w:t>nie spełnia powyższego</w:t>
            </w:r>
          </w:p>
        </w:tc>
        <w:tc>
          <w:tcPr>
            <w:tcW w:w="976" w:type="pct"/>
            <w:shd w:val="clear" w:color="auto" w:fill="auto"/>
          </w:tcPr>
          <w:p w:rsidR="0023431A" w:rsidRDefault="003E5C60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związku z tym, że dokonano szczegółowego podziału narzędzi koniecznym było </w:t>
            </w:r>
            <w:r w:rsidR="00850780">
              <w:rPr>
                <w:rFonts w:cstheme="minorHAnsi"/>
                <w:sz w:val="20"/>
                <w:szCs w:val="20"/>
              </w:rPr>
              <w:t>zmniejszenie ilości za które otrzymuje się punkty.</w:t>
            </w:r>
          </w:p>
          <w:p w:rsidR="00850780" w:rsidRPr="003E5C60" w:rsidRDefault="00850780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 w:rsidRPr="00850780">
              <w:rPr>
                <w:rFonts w:cstheme="minorHAnsi"/>
                <w:sz w:val="20"/>
                <w:szCs w:val="20"/>
              </w:rPr>
              <w:t>Zmiana zapisu przy punktacji „0”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</w:tcPr>
          <w:p w:rsidR="0023431A" w:rsidRPr="001E4083" w:rsidRDefault="0023431A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D71FF" w:rsidRPr="001E4083" w:rsidTr="00A154F4">
        <w:trPr>
          <w:jc w:val="center"/>
        </w:trPr>
        <w:tc>
          <w:tcPr>
            <w:tcW w:w="648" w:type="pct"/>
            <w:vMerge w:val="restart"/>
            <w:shd w:val="clear" w:color="auto" w:fill="auto"/>
            <w:vAlign w:val="center"/>
          </w:tcPr>
          <w:p w:rsidR="00AD71FF" w:rsidRPr="001E4083" w:rsidRDefault="00BC1237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221B8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lastRenderedPageBreak/>
              <w:t>6</w:t>
            </w:r>
            <w:r w:rsidR="00D221B8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221B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ar-SA"/>
              </w:rPr>
              <w:t xml:space="preserve">  7.</w:t>
            </w:r>
            <w:r w:rsidR="00AD71FF" w:rsidRPr="00AD71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Udział w spotkaniach </w:t>
            </w:r>
            <w:r w:rsidR="00E46AC5" w:rsidRPr="00E46AC5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t>i konsultacjach</w:t>
            </w:r>
            <w:r w:rsidR="00E46AC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AD71FF" w:rsidRPr="00AD71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doradczych  </w:t>
            </w:r>
          </w:p>
        </w:tc>
        <w:tc>
          <w:tcPr>
            <w:tcW w:w="1220" w:type="pct"/>
            <w:shd w:val="clear" w:color="auto" w:fill="auto"/>
          </w:tcPr>
          <w:p w:rsidR="00AD71FF" w:rsidRPr="00AD71FF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1FF">
              <w:rPr>
                <w:rFonts w:asciiTheme="minorHAnsi" w:hAnsiTheme="minorHAnsi" w:cstheme="minorHAnsi"/>
                <w:sz w:val="20"/>
                <w:szCs w:val="20"/>
              </w:rPr>
              <w:t>Wnioskodawca korzystał ze szkoleń, konsultacji prowadzonych przez biuro LGD</w:t>
            </w:r>
          </w:p>
          <w:p w:rsidR="00AD71FF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71FF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71FF" w:rsidRPr="00AD71FF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1FF">
              <w:rPr>
                <w:rFonts w:asciiTheme="minorHAnsi" w:hAnsiTheme="minorHAnsi" w:cstheme="minorHAnsi"/>
                <w:sz w:val="20"/>
                <w:szCs w:val="20"/>
              </w:rPr>
              <w:t>W ramach kryterium preferowane będą operacje, których wnioskodawca skorzystał ze szkoleń, konsultacji prowadzonych przez biuro LGD.</w:t>
            </w:r>
          </w:p>
          <w:p w:rsidR="00AD71FF" w:rsidRPr="00AD71FF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1FF">
              <w:rPr>
                <w:rFonts w:asciiTheme="minorHAnsi" w:hAnsiTheme="minorHAnsi" w:cstheme="minorHAnsi"/>
                <w:sz w:val="20"/>
                <w:szCs w:val="20"/>
              </w:rPr>
              <w:t>Kryterium będzie weryfikowane na podstawie dokumentu wystawionego przez biuro LGD.</w:t>
            </w:r>
          </w:p>
          <w:p w:rsidR="00AD71FF" w:rsidRPr="00D00B57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1FF">
              <w:rPr>
                <w:rFonts w:asciiTheme="minorHAnsi" w:hAnsiTheme="minorHAnsi" w:cstheme="minorHAnsi"/>
                <w:sz w:val="20"/>
                <w:szCs w:val="20"/>
              </w:rPr>
              <w:t>Członek Rady może przyznać punkty w jednej z kategorii</w:t>
            </w:r>
          </w:p>
        </w:tc>
        <w:tc>
          <w:tcPr>
            <w:tcW w:w="1181" w:type="pct"/>
            <w:shd w:val="clear" w:color="auto" w:fill="auto"/>
          </w:tcPr>
          <w:p w:rsidR="00AD71FF" w:rsidRPr="00AD71FF" w:rsidRDefault="00183AF6" w:rsidP="00C026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Wnioskodawca korzystał </w:t>
            </w:r>
            <w:r w:rsidRPr="00183AF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ze szkoleń i konsultacji</w:t>
            </w:r>
            <w:r w:rsidRPr="00183A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 </w:t>
            </w:r>
            <w:r w:rsidR="00AD71FF" w:rsidRPr="00183A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doradztwa </w:t>
            </w:r>
            <w:r w:rsidR="00AD71FF" w:rsidRPr="00C026E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biuro LGD </w:t>
            </w:r>
            <w:r w:rsidR="00AD71FF" w:rsidRPr="00AD71F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ramach danego naboru.</w:t>
            </w:r>
          </w:p>
          <w:p w:rsidR="00AD71FF" w:rsidRPr="00C026E4" w:rsidRDefault="00AD71FF" w:rsidP="00C026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71FF" w:rsidRPr="00AD71FF" w:rsidRDefault="00AD71FF" w:rsidP="00C026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026E4">
              <w:rPr>
                <w:rFonts w:asciiTheme="minorHAnsi" w:hAnsiTheme="minorHAnsi" w:cstheme="minorHAnsi"/>
                <w:sz w:val="20"/>
                <w:szCs w:val="20"/>
              </w:rPr>
              <w:t>W ramach kryterium preferowane będą operacje, których wnioskodawca skorzystał</w:t>
            </w:r>
            <w:r w:rsidR="00AD12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12DF" w:rsidRPr="00AD12DF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ze szkoleń, konsultacji</w:t>
            </w:r>
            <w:r w:rsidR="00AD12DF" w:rsidRPr="00AD12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AD12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z doradztwa</w:t>
            </w:r>
            <w:r w:rsidRPr="00C026E4">
              <w:rPr>
                <w:rFonts w:asciiTheme="minorHAnsi" w:hAnsiTheme="minorHAnsi" w:cstheme="minorHAnsi"/>
                <w:sz w:val="20"/>
                <w:szCs w:val="20"/>
              </w:rPr>
              <w:t xml:space="preserve"> prowadzonego w biurze LGD </w:t>
            </w:r>
            <w:r w:rsidRPr="00AD71F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min. 2 razy. </w:t>
            </w:r>
          </w:p>
          <w:p w:rsidR="00AD71FF" w:rsidRPr="00C026E4" w:rsidRDefault="00AD71FF" w:rsidP="00C026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6E4">
              <w:rPr>
                <w:rFonts w:asciiTheme="minorHAnsi" w:hAnsiTheme="minorHAnsi" w:cstheme="minorHAnsi"/>
                <w:sz w:val="20"/>
                <w:szCs w:val="20"/>
              </w:rPr>
              <w:t>Kryterium będzie weryfikowane na podstawie dokumentu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wystawionego  przez biuro LGD.</w:t>
            </w:r>
          </w:p>
          <w:p w:rsidR="00AD71FF" w:rsidRPr="00D00B57" w:rsidRDefault="00AD71FF" w:rsidP="00C026E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6E4">
              <w:rPr>
                <w:rFonts w:asciiTheme="minorHAnsi" w:hAnsiTheme="minorHAnsi" w:cstheme="minorHAnsi"/>
                <w:sz w:val="20"/>
                <w:szCs w:val="20"/>
              </w:rPr>
              <w:t>Członek Rady może przyznać punkty w jednej z kategorii</w:t>
            </w:r>
          </w:p>
        </w:tc>
        <w:tc>
          <w:tcPr>
            <w:tcW w:w="976" w:type="pct"/>
            <w:shd w:val="clear" w:color="auto" w:fill="auto"/>
          </w:tcPr>
          <w:p w:rsidR="00AD71FF" w:rsidRDefault="00183AF6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Usunięto możliwość uzyskania punktów za udział w szkoleniu. LGD zależy na bezpośrednim kontakcie z beneficjentem w celu wypracowania dobrego wniosku dlatego chce punktować tylko udział w doradztwie. Aby uzyskać punkty doradztwo ma dotyczyć danego naboru i musi odbyć się min. 2 racy</w:t>
            </w:r>
            <w:r w:rsidR="00E46AC5">
              <w:rPr>
                <w:rFonts w:cstheme="minorHAnsi"/>
                <w:sz w:val="20"/>
                <w:szCs w:val="20"/>
              </w:rPr>
              <w:t>. W związku ze zmianą kryterium zmieniono również jego nazwę</w:t>
            </w:r>
          </w:p>
        </w:tc>
        <w:tc>
          <w:tcPr>
            <w:tcW w:w="975" w:type="pct"/>
          </w:tcPr>
          <w:p w:rsidR="00AD71FF" w:rsidRPr="001E4083" w:rsidRDefault="00AD71FF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D71FF" w:rsidRPr="001E4083" w:rsidTr="00A154F4">
        <w:trPr>
          <w:jc w:val="center"/>
        </w:trPr>
        <w:tc>
          <w:tcPr>
            <w:tcW w:w="648" w:type="pct"/>
            <w:vMerge/>
            <w:shd w:val="clear" w:color="auto" w:fill="auto"/>
            <w:vAlign w:val="center"/>
          </w:tcPr>
          <w:p w:rsidR="00AD71FF" w:rsidRDefault="00AD71FF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p w:rsidR="00AD71FF" w:rsidRPr="00AD71FF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1FF">
              <w:rPr>
                <w:rFonts w:asciiTheme="minorHAnsi" w:hAnsiTheme="minorHAnsi" w:cstheme="minorHAnsi"/>
                <w:sz w:val="20"/>
                <w:szCs w:val="20"/>
              </w:rPr>
              <w:t>Max 5</w:t>
            </w:r>
          </w:p>
          <w:p w:rsidR="00AD71FF" w:rsidRPr="00AD71FF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1FF">
              <w:rPr>
                <w:rFonts w:asciiTheme="minorHAnsi" w:hAnsiTheme="minorHAnsi" w:cstheme="minorHAnsi"/>
                <w:sz w:val="20"/>
                <w:szCs w:val="20"/>
              </w:rPr>
              <w:t>5 – korzystał</w:t>
            </w:r>
          </w:p>
          <w:p w:rsidR="00AD71FF" w:rsidRPr="00AD71FF" w:rsidRDefault="00AD71FF" w:rsidP="00AD71FF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71FF">
              <w:rPr>
                <w:rFonts w:asciiTheme="minorHAnsi" w:hAnsiTheme="minorHAnsi" w:cstheme="minorHAnsi"/>
                <w:sz w:val="20"/>
                <w:szCs w:val="20"/>
              </w:rPr>
              <w:t>0 –nie korzystał</w:t>
            </w:r>
          </w:p>
        </w:tc>
        <w:tc>
          <w:tcPr>
            <w:tcW w:w="1181" w:type="pct"/>
            <w:shd w:val="clear" w:color="auto" w:fill="auto"/>
          </w:tcPr>
          <w:p w:rsidR="00183AF6" w:rsidRPr="00183AF6" w:rsidRDefault="00183AF6" w:rsidP="00183AF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83A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Max 3</w:t>
            </w:r>
          </w:p>
          <w:p w:rsidR="00183AF6" w:rsidRPr="00183AF6" w:rsidRDefault="00183AF6" w:rsidP="00183AF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83A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 – korzystał  min 2 razy</w:t>
            </w:r>
          </w:p>
          <w:p w:rsidR="00AD71FF" w:rsidRPr="00C026E4" w:rsidRDefault="00183AF6" w:rsidP="00183AF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3AF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 – korzystał mniej niż 2 razy</w:t>
            </w:r>
          </w:p>
        </w:tc>
        <w:tc>
          <w:tcPr>
            <w:tcW w:w="976" w:type="pct"/>
            <w:shd w:val="clear" w:color="auto" w:fill="auto"/>
          </w:tcPr>
          <w:p w:rsidR="00AD71FF" w:rsidRDefault="00183AF6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 związku z powyższym uzasadnieniem zmieniono punktację</w:t>
            </w:r>
          </w:p>
        </w:tc>
        <w:tc>
          <w:tcPr>
            <w:tcW w:w="975" w:type="pct"/>
          </w:tcPr>
          <w:p w:rsidR="00AD71FF" w:rsidRPr="001E4083" w:rsidRDefault="00AD71FF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A154F4">
        <w:trPr>
          <w:jc w:val="center"/>
        </w:trPr>
        <w:tc>
          <w:tcPr>
            <w:tcW w:w="648" w:type="pct"/>
            <w:vMerge w:val="restart"/>
            <w:shd w:val="clear" w:color="auto" w:fill="auto"/>
            <w:vAlign w:val="center"/>
          </w:tcPr>
          <w:p w:rsidR="0023431A" w:rsidRPr="00E13571" w:rsidRDefault="00BC1237" w:rsidP="00D221B8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D221B8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t>7</w:t>
            </w:r>
            <w:r w:rsidR="0023431A" w:rsidRPr="00D221B8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D221B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D221B8" w:rsidRPr="00D221B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ar-SA"/>
              </w:rPr>
              <w:t xml:space="preserve">8. </w:t>
            </w:r>
            <w:r w:rsidR="0023431A" w:rsidRPr="00E13571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Jakość i kompletność wniosku</w:t>
            </w:r>
          </w:p>
        </w:tc>
        <w:tc>
          <w:tcPr>
            <w:tcW w:w="1220" w:type="pct"/>
            <w:shd w:val="clear" w:color="auto" w:fill="auto"/>
          </w:tcPr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E58E1">
              <w:rPr>
                <w:rFonts w:cstheme="minorHAnsi"/>
                <w:sz w:val="20"/>
                <w:szCs w:val="20"/>
              </w:rPr>
              <w:t xml:space="preserve">Wnioskodawca złożył wniosek, który jest kompletny spójny, racjonalny i dobrze opisany.  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CE58E1">
              <w:rPr>
                <w:rFonts w:cstheme="minorHAnsi"/>
                <w:i/>
                <w:sz w:val="20"/>
                <w:szCs w:val="20"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CE58E1">
              <w:rPr>
                <w:rFonts w:cstheme="minorHAnsi"/>
                <w:i/>
                <w:sz w:val="20"/>
                <w:szCs w:val="20"/>
              </w:rPr>
              <w:t>Kryterium będzie weryfikowane na podstawie zapisów we wniosku i załączonych dokumentach.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Członek Rady może przyznać punkty w każdej z kategorii</w:t>
            </w:r>
          </w:p>
        </w:tc>
        <w:tc>
          <w:tcPr>
            <w:tcW w:w="1181" w:type="pct"/>
            <w:shd w:val="clear" w:color="auto" w:fill="auto"/>
          </w:tcPr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CE58E1">
              <w:rPr>
                <w:rFonts w:cstheme="minorHAnsi"/>
                <w:sz w:val="20"/>
                <w:szCs w:val="20"/>
              </w:rPr>
              <w:t>Wnioskodawca złożył wniosek, który jest kompletny, spójny</w:t>
            </w:r>
            <w:r w:rsidR="00AD12DF">
              <w:rPr>
                <w:rFonts w:cstheme="minorHAnsi"/>
                <w:sz w:val="20"/>
                <w:szCs w:val="20"/>
              </w:rPr>
              <w:t xml:space="preserve">, </w:t>
            </w:r>
            <w:r w:rsidR="00AD12DF" w:rsidRPr="00AD12DF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racjonalny i dobrze </w:t>
            </w:r>
            <w:r w:rsidR="00AD12DF">
              <w:rPr>
                <w:rFonts w:cstheme="minorHAnsi"/>
                <w:strike/>
                <w:color w:val="FF0000"/>
                <w:sz w:val="20"/>
                <w:szCs w:val="20"/>
              </w:rPr>
              <w:t>opisany</w:t>
            </w:r>
            <w:r w:rsidRPr="00CE58E1">
              <w:rPr>
                <w:rFonts w:cstheme="minorHAnsi"/>
                <w:sz w:val="20"/>
                <w:szCs w:val="20"/>
              </w:rPr>
              <w:t xml:space="preserve"> </w:t>
            </w:r>
            <w:r w:rsidRPr="00CE58E1">
              <w:rPr>
                <w:rFonts w:cstheme="minorHAnsi"/>
                <w:color w:val="FF0000"/>
                <w:sz w:val="20"/>
                <w:szCs w:val="20"/>
              </w:rPr>
              <w:t>i prawidłowo wypełniony.</w:t>
            </w:r>
            <w:r w:rsidRPr="00CE58E1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CE58E1">
              <w:rPr>
                <w:rFonts w:cstheme="minorHAnsi"/>
                <w:i/>
                <w:sz w:val="20"/>
                <w:szCs w:val="20"/>
              </w:rPr>
              <w:t>W ramach kryterium preferowane będą oper</w:t>
            </w:r>
            <w:r w:rsidR="001E5CC3">
              <w:rPr>
                <w:rFonts w:cstheme="minorHAnsi"/>
                <w:i/>
                <w:sz w:val="20"/>
                <w:szCs w:val="20"/>
              </w:rPr>
              <w:t xml:space="preserve">acje mające spójny </w:t>
            </w:r>
            <w:r w:rsidRPr="00CE58E1">
              <w:rPr>
                <w:rFonts w:cstheme="minorHAnsi"/>
                <w:i/>
                <w:sz w:val="20"/>
                <w:szCs w:val="20"/>
              </w:rPr>
              <w:t>charakter, o dobrze opisanych działaniach oraz wniosek jest prawidłowo wypełniony i  zawiera wszystkie wymagane i dodatkowe załączniki.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CE58E1">
              <w:rPr>
                <w:rFonts w:cstheme="minorHAnsi"/>
                <w:i/>
                <w:sz w:val="20"/>
                <w:szCs w:val="20"/>
              </w:rPr>
              <w:t>Kryterium będzie weryfikowane na podstawie zapisów we wniosku i załączonych dokumentach.</w:t>
            </w:r>
          </w:p>
          <w:p w:rsidR="0023431A" w:rsidRPr="00CE58E1" w:rsidRDefault="0023431A" w:rsidP="000673E7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E58E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Członek Rady może przyznać punkty w każdej z kategorii</w:t>
            </w:r>
          </w:p>
        </w:tc>
        <w:tc>
          <w:tcPr>
            <w:tcW w:w="976" w:type="pct"/>
            <w:shd w:val="clear" w:color="auto" w:fill="auto"/>
          </w:tcPr>
          <w:p w:rsidR="0023431A" w:rsidRPr="001E4083" w:rsidRDefault="001E5CC3" w:rsidP="00A154F4">
            <w:pPr>
              <w:pStyle w:val="Akapitzlist"/>
              <w:ind w:left="142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 związku z tym, że racjonalność oceniana jest w karcie PROW</w:t>
            </w:r>
            <w:r w:rsidR="00CD2186">
              <w:rPr>
                <w:rFonts w:cstheme="minorHAnsi"/>
                <w:i/>
                <w:sz w:val="20"/>
                <w:szCs w:val="20"/>
              </w:rPr>
              <w:t xml:space="preserve"> usunięto w tym kryterium </w:t>
            </w:r>
            <w:r w:rsidR="0082714F">
              <w:rPr>
                <w:rFonts w:cstheme="minorHAnsi"/>
                <w:i/>
                <w:sz w:val="20"/>
                <w:szCs w:val="20"/>
              </w:rPr>
              <w:t>„</w:t>
            </w:r>
            <w:r w:rsidR="00CD2186">
              <w:rPr>
                <w:rFonts w:cstheme="minorHAnsi"/>
                <w:i/>
                <w:sz w:val="20"/>
                <w:szCs w:val="20"/>
              </w:rPr>
              <w:t>racjonalność</w:t>
            </w:r>
            <w:r w:rsidR="0082714F">
              <w:rPr>
                <w:rFonts w:cstheme="minorHAnsi"/>
                <w:i/>
                <w:sz w:val="20"/>
                <w:szCs w:val="20"/>
              </w:rPr>
              <w:t>”</w:t>
            </w:r>
            <w:r w:rsidR="00CD2186">
              <w:rPr>
                <w:rFonts w:cstheme="minorHAnsi"/>
                <w:i/>
                <w:sz w:val="20"/>
                <w:szCs w:val="20"/>
              </w:rPr>
              <w:t>. Dodatkowo zapis „dobrze opisany” zamieniono na „prawidłowo wypełniony”</w:t>
            </w:r>
          </w:p>
        </w:tc>
        <w:tc>
          <w:tcPr>
            <w:tcW w:w="975" w:type="pct"/>
          </w:tcPr>
          <w:p w:rsidR="0023431A" w:rsidRPr="001E4083" w:rsidRDefault="0023431A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3431A" w:rsidRPr="001E4083" w:rsidTr="00A154F4">
        <w:trPr>
          <w:jc w:val="center"/>
        </w:trPr>
        <w:tc>
          <w:tcPr>
            <w:tcW w:w="648" w:type="pct"/>
            <w:vMerge/>
            <w:shd w:val="clear" w:color="auto" w:fill="auto"/>
            <w:vAlign w:val="center"/>
          </w:tcPr>
          <w:p w:rsidR="0023431A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20" w:type="pct"/>
            <w:shd w:val="clear" w:color="auto" w:fill="auto"/>
          </w:tcPr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sz w:val="20"/>
                <w:szCs w:val="20"/>
              </w:rPr>
              <w:t>Max 4</w:t>
            </w: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CE58E1">
              <w:rPr>
                <w:rFonts w:asciiTheme="minorHAnsi" w:hAnsiTheme="minorHAnsi" w:cstheme="minorHAnsi"/>
                <w:sz w:val="20"/>
                <w:szCs w:val="20"/>
              </w:rPr>
              <w:t>2- wniosek jest spójny, racjonalny, dobrze wypełniony</w:t>
            </w: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sz w:val="20"/>
                <w:szCs w:val="20"/>
              </w:rPr>
              <w:t>2- wniosek jest kompletny</w:t>
            </w: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sz w:val="20"/>
                <w:szCs w:val="20"/>
              </w:rPr>
              <w:t>0- brak spójności i kompletności  wniosku</w:t>
            </w: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sz w:val="20"/>
                <w:szCs w:val="20"/>
              </w:rPr>
              <w:t>Max 4</w:t>
            </w:r>
          </w:p>
          <w:p w:rsidR="0023431A" w:rsidRPr="00AD12DF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r w:rsidRPr="00CE58E1">
              <w:rPr>
                <w:rFonts w:asciiTheme="minorHAnsi" w:hAnsiTheme="minorHAnsi" w:cstheme="minorHAnsi"/>
                <w:sz w:val="20"/>
                <w:szCs w:val="20"/>
              </w:rPr>
              <w:t xml:space="preserve"> - wniosek jest spójny</w:t>
            </w:r>
            <w:r w:rsidR="00AD12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D12DF" w:rsidRPr="00AD12DF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racjonalny, dobrze wypełniony</w:t>
            </w: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1 – </w:t>
            </w:r>
            <w:r w:rsidRPr="00AD12DF">
              <w:rPr>
                <w:rFonts w:asciiTheme="minorHAnsi" w:hAnsiTheme="minorHAnsi" w:cstheme="minorHAnsi"/>
                <w:sz w:val="20"/>
                <w:szCs w:val="20"/>
              </w:rPr>
              <w:t>wniosek jest</w:t>
            </w:r>
            <w:r w:rsidR="00AD12DF" w:rsidRPr="00AD12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12DF" w:rsidRPr="00AD12DF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kompletny</w:t>
            </w:r>
            <w:r w:rsidRPr="00CE58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942F3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prawidłowo </w:t>
            </w:r>
            <w:r w:rsidRPr="00CE58E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wypełniony</w:t>
            </w: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sz w:val="20"/>
                <w:szCs w:val="20"/>
              </w:rPr>
              <w:t xml:space="preserve">2- </w:t>
            </w:r>
            <w:r w:rsidRPr="00AD12D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wniosek jest kompletny</w:t>
            </w: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58E1">
              <w:rPr>
                <w:rFonts w:asciiTheme="minorHAnsi" w:hAnsiTheme="minorHAnsi" w:cstheme="minorHAnsi"/>
                <w:sz w:val="20"/>
                <w:szCs w:val="20"/>
              </w:rPr>
              <w:t xml:space="preserve">0- </w:t>
            </w:r>
            <w:r w:rsidR="002E58A9" w:rsidRPr="002E58A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brak spójności i kompletności  wniosku</w:t>
            </w:r>
            <w:r w:rsidR="002E58A9" w:rsidRPr="002E58A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2E58A9" w:rsidRPr="00942F3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żadne z powyższych</w:t>
            </w:r>
          </w:p>
          <w:p w:rsidR="0023431A" w:rsidRPr="00CE58E1" w:rsidRDefault="0023431A" w:rsidP="000673E7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76" w:type="pct"/>
            <w:shd w:val="clear" w:color="auto" w:fill="auto"/>
          </w:tcPr>
          <w:p w:rsidR="0023431A" w:rsidRPr="0082714F" w:rsidRDefault="0082714F" w:rsidP="00A154F4">
            <w:pPr>
              <w:pStyle w:val="Akapitzlist"/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Zmieniono możliwość przyznania punktów. </w:t>
            </w:r>
            <w:r w:rsidR="00AD12DF">
              <w:rPr>
                <w:rFonts w:cstheme="minorHAnsi"/>
                <w:sz w:val="20"/>
                <w:szCs w:val="20"/>
              </w:rPr>
              <w:t>Punk</w:t>
            </w:r>
            <w:r w:rsidR="00C026E4">
              <w:rPr>
                <w:rFonts w:cstheme="minorHAnsi"/>
                <w:sz w:val="20"/>
                <w:szCs w:val="20"/>
              </w:rPr>
              <w:t>tacja</w:t>
            </w:r>
            <w:r w:rsidR="00AD12DF">
              <w:rPr>
                <w:rFonts w:cstheme="minorHAnsi"/>
                <w:sz w:val="20"/>
                <w:szCs w:val="20"/>
              </w:rPr>
              <w:t xml:space="preserve"> jest przyznawano osobno na każdym poziomie jakości i kompletności wniosku</w:t>
            </w:r>
          </w:p>
        </w:tc>
        <w:tc>
          <w:tcPr>
            <w:tcW w:w="975" w:type="pct"/>
          </w:tcPr>
          <w:p w:rsidR="0023431A" w:rsidRPr="001E4083" w:rsidRDefault="0023431A" w:rsidP="000673E7">
            <w:pPr>
              <w:pStyle w:val="Akapitzlist"/>
              <w:ind w:left="142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023D1F" w:rsidRDefault="00023D1F"/>
    <w:sectPr w:rsidR="00023D1F" w:rsidSect="00DA160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74" w:rsidRDefault="00864774">
      <w:pPr>
        <w:spacing w:before="0" w:after="0"/>
      </w:pPr>
      <w:r>
        <w:separator/>
      </w:r>
    </w:p>
  </w:endnote>
  <w:endnote w:type="continuationSeparator" w:id="0">
    <w:p w:rsidR="00864774" w:rsidRDefault="008647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74" w:rsidRDefault="00864774">
      <w:pPr>
        <w:spacing w:before="0" w:after="0"/>
      </w:pPr>
      <w:r>
        <w:separator/>
      </w:r>
    </w:p>
  </w:footnote>
  <w:footnote w:type="continuationSeparator" w:id="0">
    <w:p w:rsidR="00864774" w:rsidRDefault="008647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92" w:rsidRDefault="0023431A">
    <w:pPr>
      <w:pStyle w:val="Nagwek"/>
    </w:pPr>
    <w:r>
      <w:t>Załącznik nr 4c do procedury oceny wniosków o udzielenie wsparcia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A"/>
    <w:rsid w:val="00023D1F"/>
    <w:rsid w:val="00183AF6"/>
    <w:rsid w:val="001A2B0B"/>
    <w:rsid w:val="001E5CC3"/>
    <w:rsid w:val="0023431A"/>
    <w:rsid w:val="002E58A9"/>
    <w:rsid w:val="003724AB"/>
    <w:rsid w:val="003811B9"/>
    <w:rsid w:val="003B7598"/>
    <w:rsid w:val="003E5C60"/>
    <w:rsid w:val="004411FB"/>
    <w:rsid w:val="004C3293"/>
    <w:rsid w:val="006D5CF1"/>
    <w:rsid w:val="0082714F"/>
    <w:rsid w:val="00850780"/>
    <w:rsid w:val="00864774"/>
    <w:rsid w:val="008F6A8B"/>
    <w:rsid w:val="00927C63"/>
    <w:rsid w:val="00942F37"/>
    <w:rsid w:val="009442F6"/>
    <w:rsid w:val="00A154F4"/>
    <w:rsid w:val="00A2390B"/>
    <w:rsid w:val="00AD12DF"/>
    <w:rsid w:val="00AD71FF"/>
    <w:rsid w:val="00B94B4F"/>
    <w:rsid w:val="00BC1237"/>
    <w:rsid w:val="00C026E4"/>
    <w:rsid w:val="00C546EE"/>
    <w:rsid w:val="00C76A45"/>
    <w:rsid w:val="00CD2186"/>
    <w:rsid w:val="00D14D67"/>
    <w:rsid w:val="00D221B8"/>
    <w:rsid w:val="00D41ED3"/>
    <w:rsid w:val="00D46FBF"/>
    <w:rsid w:val="00D749B9"/>
    <w:rsid w:val="00D90878"/>
    <w:rsid w:val="00E46AC5"/>
    <w:rsid w:val="00F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AEF99-74AC-4EB6-A773-6A8CA7AE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31A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1A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431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3431A"/>
    <w:rPr>
      <w:rFonts w:ascii="Tahoma" w:eastAsia="Tahoma" w:hAnsi="Tahoma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31A"/>
    <w:rPr>
      <w:color w:val="0563C1" w:themeColor="hyperlink"/>
      <w:u w:val="single"/>
    </w:rPr>
  </w:style>
  <w:style w:type="paragraph" w:customStyle="1" w:styleId="Default">
    <w:name w:val="Default"/>
    <w:rsid w:val="00E46A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rganizac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ganizacj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Granica</dc:creator>
  <cp:lastModifiedBy>Granica</cp:lastModifiedBy>
  <cp:revision>15</cp:revision>
  <dcterms:created xsi:type="dcterms:W3CDTF">2017-03-09T07:58:00Z</dcterms:created>
  <dcterms:modified xsi:type="dcterms:W3CDTF">2017-03-14T11:17:00Z</dcterms:modified>
</cp:coreProperties>
</file>