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2184" w14:textId="77777777" w:rsidR="00D019D8" w:rsidRPr="00B74007" w:rsidRDefault="00444E84" w:rsidP="00EF78E2">
      <w:pPr>
        <w:jc w:val="right"/>
        <w:rPr>
          <w:rFonts w:asciiTheme="minorHAnsi" w:hAnsiTheme="minorHAnsi" w:cstheme="minorHAnsi"/>
          <w:b/>
          <w:sz w:val="22"/>
          <w:szCs w:val="22"/>
        </w:rPr>
      </w:pPr>
      <w:bookmarkStart w:id="0" w:name="_Toc226881897"/>
      <w:r>
        <w:rPr>
          <w:noProof/>
        </w:rPr>
        <w:drawing>
          <wp:anchor distT="0" distB="0" distL="114300" distR="114300" simplePos="0" relativeHeight="251665408" behindDoc="0" locked="0" layoutInCell="1" allowOverlap="1" wp14:anchorId="181B33E5" wp14:editId="66A2A2BE">
            <wp:simplePos x="0" y="0"/>
            <wp:positionH relativeFrom="column">
              <wp:posOffset>3874770</wp:posOffset>
            </wp:positionH>
            <wp:positionV relativeFrom="paragraph">
              <wp:posOffset>-186055</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84A48F7" wp14:editId="24DDDB76">
            <wp:simplePos x="0" y="0"/>
            <wp:positionH relativeFrom="column">
              <wp:posOffset>1990725</wp:posOffset>
            </wp:positionH>
            <wp:positionV relativeFrom="paragraph">
              <wp:posOffset>-120015</wp:posOffset>
            </wp:positionV>
            <wp:extent cx="1477010" cy="582930"/>
            <wp:effectExtent l="0" t="0" r="8890" b="762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390C64" wp14:editId="1D9D3FF5">
            <wp:simplePos x="0" y="0"/>
            <wp:positionH relativeFrom="column">
              <wp:posOffset>652145</wp:posOffset>
            </wp:positionH>
            <wp:positionV relativeFrom="paragraph">
              <wp:posOffset>-96520</wp:posOffset>
            </wp:positionV>
            <wp:extent cx="685800" cy="565150"/>
            <wp:effectExtent l="0" t="0" r="0" b="635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9AC">
        <w:rPr>
          <w:noProof/>
        </w:rPr>
        <w:drawing>
          <wp:anchor distT="0" distB="0" distL="114300" distR="114300" simplePos="0" relativeHeight="251659264" behindDoc="0" locked="0" layoutInCell="1" allowOverlap="1" wp14:anchorId="34AB5593" wp14:editId="2BFEAB64">
            <wp:simplePos x="0" y="0"/>
            <wp:positionH relativeFrom="margin">
              <wp:posOffset>259080</wp:posOffset>
            </wp:positionH>
            <wp:positionV relativeFrom="margin">
              <wp:posOffset>-116840</wp:posOffset>
            </wp:positionV>
            <wp:extent cx="895350" cy="600075"/>
            <wp:effectExtent l="0" t="0" r="0" b="0"/>
            <wp:wrapSquare wrapText="bothSides"/>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p>
    <w:bookmarkEnd w:id="0"/>
    <w:p w14:paraId="1D72BFFD" w14:textId="77777777" w:rsidR="00472B2B" w:rsidRPr="00B74007" w:rsidRDefault="00472B2B" w:rsidP="006B35F8">
      <w:pPr>
        <w:jc w:val="center"/>
        <w:rPr>
          <w:rFonts w:asciiTheme="minorHAnsi" w:hAnsiTheme="minorHAnsi" w:cstheme="minorHAnsi"/>
        </w:rPr>
      </w:pPr>
    </w:p>
    <w:p w14:paraId="563C0A20" w14:textId="77777777" w:rsidR="00CC49AC" w:rsidRPr="00CC49AC" w:rsidRDefault="00CC49AC" w:rsidP="006B35F8">
      <w:pPr>
        <w:tabs>
          <w:tab w:val="left" w:pos="2977"/>
          <w:tab w:val="left" w:pos="3544"/>
          <w:tab w:val="left" w:pos="3686"/>
        </w:tabs>
        <w:jc w:val="center"/>
        <w:rPr>
          <w:rFonts w:asciiTheme="minorHAnsi" w:hAnsiTheme="minorHAnsi" w:cstheme="minorHAnsi"/>
          <w:b/>
          <w:sz w:val="20"/>
          <w:szCs w:val="20"/>
        </w:rPr>
      </w:pPr>
    </w:p>
    <w:p w14:paraId="585D56D3" w14:textId="77777777" w:rsidR="00CC49AC" w:rsidRPr="00CC49AC" w:rsidRDefault="00CC49AC" w:rsidP="00CC49AC">
      <w:pPr>
        <w:jc w:val="center"/>
        <w:rPr>
          <w:rFonts w:ascii="Calibri" w:hAnsi="Calibri" w:cs="Calibri"/>
          <w:b/>
          <w:i/>
          <w:sz w:val="20"/>
          <w:szCs w:val="20"/>
        </w:rPr>
      </w:pPr>
      <w:r w:rsidRPr="00CC49AC">
        <w:rPr>
          <w:rFonts w:ascii="Calibri" w:hAnsi="Calibri" w:cs="Calibri"/>
          <w:sz w:val="20"/>
          <w:szCs w:val="20"/>
        </w:rPr>
        <w:t>„Europejski Fundusz Rolny na rzecz Rozwoju Obszarów Wiejskich: Europa inwestująca w obszary wiejskie”.</w:t>
      </w:r>
    </w:p>
    <w:p w14:paraId="0FD8B765" w14:textId="77777777" w:rsidR="00CC49AC" w:rsidRDefault="00CC49AC" w:rsidP="006B35F8">
      <w:pPr>
        <w:tabs>
          <w:tab w:val="left" w:pos="2977"/>
          <w:tab w:val="left" w:pos="3544"/>
          <w:tab w:val="left" w:pos="3686"/>
        </w:tabs>
        <w:jc w:val="center"/>
        <w:rPr>
          <w:rFonts w:asciiTheme="minorHAnsi" w:hAnsiTheme="minorHAnsi" w:cstheme="minorHAnsi"/>
          <w:b/>
          <w:sz w:val="28"/>
          <w:szCs w:val="28"/>
        </w:rPr>
      </w:pPr>
    </w:p>
    <w:p w14:paraId="75D24E51" w14:textId="77777777" w:rsidR="009D4E26" w:rsidRDefault="009D4E26" w:rsidP="009D4E26">
      <w:pPr>
        <w:tabs>
          <w:tab w:val="left" w:pos="2977"/>
          <w:tab w:val="left" w:pos="3544"/>
          <w:tab w:val="left" w:pos="3686"/>
        </w:tabs>
        <w:jc w:val="center"/>
        <w:rPr>
          <w:rFonts w:asciiTheme="minorHAnsi" w:hAnsiTheme="minorHAnsi" w:cstheme="minorHAnsi"/>
          <w:b/>
          <w:sz w:val="28"/>
          <w:szCs w:val="28"/>
        </w:rPr>
      </w:pPr>
    </w:p>
    <w:p w14:paraId="08004FE6" w14:textId="77777777" w:rsidR="00A33664" w:rsidRPr="009D4E26" w:rsidRDefault="00A33664" w:rsidP="009D4E26">
      <w:pPr>
        <w:tabs>
          <w:tab w:val="left" w:pos="2977"/>
          <w:tab w:val="left" w:pos="3544"/>
          <w:tab w:val="left" w:pos="3686"/>
        </w:tabs>
        <w:jc w:val="center"/>
        <w:rPr>
          <w:rFonts w:asciiTheme="minorHAnsi" w:hAnsiTheme="minorHAnsi" w:cstheme="minorHAnsi"/>
          <w:b/>
          <w:sz w:val="28"/>
          <w:szCs w:val="28"/>
        </w:rPr>
      </w:pPr>
      <w:r w:rsidRPr="009D4E26">
        <w:rPr>
          <w:rFonts w:asciiTheme="minorHAnsi" w:hAnsiTheme="minorHAnsi" w:cstheme="minorHAnsi"/>
          <w:b/>
          <w:sz w:val="28"/>
          <w:szCs w:val="28"/>
        </w:rPr>
        <w:t>Procedura oceny i wyboru</w:t>
      </w:r>
      <w:r w:rsidR="00472B2B" w:rsidRPr="009D4E26">
        <w:rPr>
          <w:rFonts w:asciiTheme="minorHAnsi" w:hAnsiTheme="minorHAnsi" w:cstheme="minorHAnsi"/>
          <w:b/>
          <w:sz w:val="28"/>
          <w:szCs w:val="28"/>
        </w:rPr>
        <w:t xml:space="preserve"> </w:t>
      </w:r>
      <w:r w:rsidRPr="009D4E26">
        <w:rPr>
          <w:rFonts w:asciiTheme="minorHAnsi" w:hAnsiTheme="minorHAnsi" w:cstheme="minorHAnsi"/>
          <w:b/>
          <w:sz w:val="28"/>
          <w:szCs w:val="28"/>
        </w:rPr>
        <w:t>grantobiorców</w:t>
      </w:r>
    </w:p>
    <w:p w14:paraId="0F05D27F" w14:textId="77777777" w:rsidR="00D820EE" w:rsidRPr="009D4E26" w:rsidRDefault="00D820EE" w:rsidP="009D4E26">
      <w:pPr>
        <w:pStyle w:val="Akapitzlist"/>
        <w:spacing w:after="0" w:line="240" w:lineRule="auto"/>
        <w:ind w:left="360"/>
        <w:rPr>
          <w:rFonts w:cstheme="minorHAnsi"/>
          <w:b/>
        </w:rPr>
      </w:pPr>
    </w:p>
    <w:p w14:paraId="297C81D6" w14:textId="77777777" w:rsidR="007D081D" w:rsidRPr="007D081D" w:rsidRDefault="00587588" w:rsidP="009D4E26">
      <w:pPr>
        <w:contextualSpacing/>
        <w:jc w:val="center"/>
        <w:rPr>
          <w:rFonts w:asciiTheme="minorHAnsi" w:eastAsiaTheme="minorHAnsi" w:hAnsiTheme="minorHAnsi" w:cstheme="minorHAnsi"/>
          <w:b/>
          <w:sz w:val="22"/>
          <w:szCs w:val="22"/>
          <w:lang w:eastAsia="en-US"/>
        </w:rPr>
      </w:pPr>
      <w:r w:rsidRPr="007D081D">
        <w:rPr>
          <w:rFonts w:asciiTheme="minorHAnsi" w:eastAsiaTheme="minorHAnsi" w:hAnsiTheme="minorHAnsi" w:cstheme="minorHAnsi"/>
          <w:b/>
          <w:sz w:val="22"/>
          <w:szCs w:val="22"/>
          <w:lang w:eastAsia="en-US"/>
        </w:rPr>
        <w:t>§1</w:t>
      </w:r>
    </w:p>
    <w:p w14:paraId="6D68FE7E" w14:textId="288DBCE5" w:rsidR="00587588" w:rsidRPr="009D4E26" w:rsidRDefault="00CC49AC" w:rsidP="009D4E26">
      <w:pPr>
        <w:contextualSpacing/>
        <w:jc w:val="center"/>
        <w:rPr>
          <w:rFonts w:asciiTheme="minorHAnsi" w:eastAsiaTheme="minorHAnsi" w:hAnsiTheme="minorHAnsi" w:cstheme="minorHAnsi"/>
          <w:sz w:val="22"/>
          <w:szCs w:val="22"/>
          <w:lang w:eastAsia="en-US"/>
        </w:rPr>
      </w:pPr>
      <w:r w:rsidRPr="009D4E26">
        <w:rPr>
          <w:rFonts w:asciiTheme="minorHAnsi" w:hAnsiTheme="minorHAnsi"/>
          <w:noProof/>
        </w:rPr>
        <w:drawing>
          <wp:anchor distT="0" distB="0" distL="114300" distR="114300" simplePos="0" relativeHeight="251667456" behindDoc="0" locked="0" layoutInCell="1" allowOverlap="1" wp14:anchorId="6401DDA3" wp14:editId="36A0ACE7">
            <wp:simplePos x="0" y="0"/>
            <wp:positionH relativeFrom="column">
              <wp:posOffset>7208520</wp:posOffset>
            </wp:positionH>
            <wp:positionV relativeFrom="paragraph">
              <wp:posOffset>-780415</wp:posOffset>
            </wp:positionV>
            <wp:extent cx="1123315" cy="734695"/>
            <wp:effectExtent l="0" t="0" r="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15FE" w14:textId="063A4CB6" w:rsidR="00122284" w:rsidRPr="009D4E26" w:rsidRDefault="00F96BDC" w:rsidP="009D4E26">
      <w:pPr>
        <w:pStyle w:val="Akapitzlist"/>
        <w:numPr>
          <w:ilvl w:val="0"/>
          <w:numId w:val="4"/>
        </w:numPr>
        <w:spacing w:after="0" w:line="240" w:lineRule="auto"/>
        <w:rPr>
          <w:rFonts w:cstheme="minorHAnsi"/>
        </w:rPr>
      </w:pPr>
      <w:r w:rsidRPr="009D4E26">
        <w:rPr>
          <w:rFonts w:cstheme="minorHAnsi"/>
        </w:rPr>
        <w:t>Po zakończeniu naboru wniosków o powierzenie grantów</w:t>
      </w:r>
      <w:r w:rsidR="0022649D" w:rsidRPr="009D4E26">
        <w:rPr>
          <w:rFonts w:cstheme="minorHAnsi"/>
        </w:rPr>
        <w:t xml:space="preserve"> LGD </w:t>
      </w:r>
      <w:r w:rsidRPr="009D4E26">
        <w:rPr>
          <w:rFonts w:cstheme="minorHAnsi"/>
        </w:rPr>
        <w:t xml:space="preserve">przystępuje do </w:t>
      </w:r>
      <w:r w:rsidR="0022649D" w:rsidRPr="009D4E26">
        <w:rPr>
          <w:rFonts w:cstheme="minorHAnsi"/>
        </w:rPr>
        <w:t>wyboru grantobiorców</w:t>
      </w:r>
      <w:r w:rsidR="00122284" w:rsidRPr="009D4E26">
        <w:rPr>
          <w:rFonts w:cstheme="minorHAnsi"/>
        </w:rPr>
        <w:t>.</w:t>
      </w:r>
      <w:r w:rsidR="0022649D" w:rsidRPr="009D4E26">
        <w:rPr>
          <w:rFonts w:cstheme="minorHAnsi"/>
        </w:rPr>
        <w:t xml:space="preserve"> </w:t>
      </w:r>
    </w:p>
    <w:p w14:paraId="6227ABEE" w14:textId="3D0271F1" w:rsidR="00B02E5E" w:rsidRPr="009D4E26" w:rsidRDefault="00B02E5E" w:rsidP="009D4E26">
      <w:pPr>
        <w:pStyle w:val="Akapitzlist"/>
        <w:numPr>
          <w:ilvl w:val="0"/>
          <w:numId w:val="4"/>
        </w:numPr>
        <w:spacing w:after="0" w:line="240" w:lineRule="auto"/>
        <w:rPr>
          <w:rFonts w:cstheme="minorHAnsi"/>
        </w:rPr>
      </w:pPr>
      <w:r w:rsidRPr="009D4E26">
        <w:rPr>
          <w:rFonts w:cstheme="minorHAnsi"/>
        </w:rPr>
        <w:t xml:space="preserve">Dokumenty z oceny wniosków przez Radę są jawne, wyniki i protokół z posiedzenia Rady jest zamieszczany na stronie LGD </w:t>
      </w:r>
      <w:hyperlink r:id="rId13" w:history="1">
        <w:r w:rsidRPr="009D4E26">
          <w:rPr>
            <w:rStyle w:val="Hipercze"/>
            <w:rFonts w:cstheme="minorHAnsi"/>
            <w:b/>
            <w:color w:val="auto"/>
          </w:rPr>
          <w:t>www.kwiatlnu.eu</w:t>
        </w:r>
      </w:hyperlink>
      <w:r w:rsidRPr="009D4E26">
        <w:rPr>
          <w:rFonts w:cstheme="minorHAnsi"/>
        </w:rPr>
        <w:t>.</w:t>
      </w:r>
    </w:p>
    <w:p w14:paraId="73B8B763" w14:textId="77777777" w:rsidR="00EE22F2" w:rsidRDefault="00EE22F2" w:rsidP="009D4E26">
      <w:pPr>
        <w:ind w:left="360"/>
        <w:jc w:val="center"/>
        <w:rPr>
          <w:rFonts w:asciiTheme="minorHAnsi" w:hAnsiTheme="minorHAnsi" w:cstheme="minorHAnsi"/>
          <w:sz w:val="22"/>
          <w:szCs w:val="22"/>
        </w:rPr>
      </w:pPr>
    </w:p>
    <w:p w14:paraId="48B51C59" w14:textId="77777777" w:rsidR="00587588" w:rsidRPr="007D081D" w:rsidRDefault="00587588" w:rsidP="009D4E26">
      <w:pPr>
        <w:ind w:left="360"/>
        <w:jc w:val="center"/>
        <w:rPr>
          <w:rFonts w:asciiTheme="minorHAnsi" w:eastAsiaTheme="minorHAnsi" w:hAnsiTheme="minorHAnsi" w:cstheme="minorHAnsi"/>
          <w:b/>
          <w:sz w:val="22"/>
          <w:szCs w:val="22"/>
          <w:lang w:eastAsia="en-US"/>
        </w:rPr>
      </w:pPr>
      <w:r w:rsidRPr="007D081D">
        <w:rPr>
          <w:rFonts w:asciiTheme="minorHAnsi" w:hAnsiTheme="minorHAnsi" w:cstheme="minorHAnsi"/>
          <w:b/>
          <w:sz w:val="22"/>
          <w:szCs w:val="22"/>
        </w:rPr>
        <w:t>§2</w:t>
      </w:r>
    </w:p>
    <w:p w14:paraId="670D6C94" w14:textId="77777777" w:rsidR="00587588" w:rsidRPr="009D4E26" w:rsidRDefault="00587588" w:rsidP="009D4E26">
      <w:pPr>
        <w:rPr>
          <w:rFonts w:asciiTheme="minorHAnsi" w:hAnsiTheme="minorHAnsi" w:cstheme="minorHAnsi"/>
          <w:sz w:val="22"/>
          <w:szCs w:val="22"/>
        </w:rPr>
      </w:pPr>
    </w:p>
    <w:p w14:paraId="090B5956"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Rada LGD Kwiat Lnu korzysta z narzędzia pomocniczego do oceny wniosków – aplikacji „Omikron nabory”. Narzędzie to pozwala na ocenę wniosków, aby sprawnie przeprowadzić posiedzenie Rady, na którym zapadają ostateczne decyzje. </w:t>
      </w:r>
    </w:p>
    <w:p w14:paraId="136EFD7B" w14:textId="33CC5FDB"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Wszystkie ostateczne decyzje dotyczące wyboru wniosków złożonych w naborze na każdym etapie oceny zapadają na posiedzeniu Rady poprzez podjęcie stosownej Uchwały. Do podjęcia tej decyzji bierze się pod uwagę </w:t>
      </w:r>
      <w:r w:rsidR="005870A5" w:rsidRPr="009D4E26">
        <w:rPr>
          <w:rFonts w:cstheme="minorHAnsi"/>
        </w:rPr>
        <w:t xml:space="preserve">wstępną ocenę dokonywaną przez Biuro oraz </w:t>
      </w:r>
      <w:r w:rsidRPr="009D4E26">
        <w:rPr>
          <w:rFonts w:cstheme="minorHAnsi"/>
        </w:rPr>
        <w:t xml:space="preserve">członków Rady biorących udział w tym posiedzeniu. </w:t>
      </w:r>
    </w:p>
    <w:p w14:paraId="23FF04DE"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Wnioski wraz z załącznikami  są udostępniane w aplikacji dla wszystkich członków Rady co najmniej 7 dni przed terminem posiedzenia Rady w sprawie wyboru wniosków. </w:t>
      </w:r>
    </w:p>
    <w:p w14:paraId="096A806F"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Oceny może dokonać tylko</w:t>
      </w:r>
      <w:r w:rsidR="005870A5" w:rsidRPr="009D4E26">
        <w:rPr>
          <w:rFonts w:cstheme="minorHAnsi"/>
        </w:rPr>
        <w:t xml:space="preserve"> pracownik Biura i </w:t>
      </w:r>
      <w:r w:rsidRPr="009D4E26">
        <w:rPr>
          <w:rFonts w:cstheme="minorHAnsi"/>
        </w:rPr>
        <w:t xml:space="preserve"> członek Rady, który zgodnie ze złożoną deklaracją jest bezstronny w stosun</w:t>
      </w:r>
      <w:r w:rsidR="007B7901" w:rsidRPr="009D4E26">
        <w:rPr>
          <w:rFonts w:cstheme="minorHAnsi"/>
        </w:rPr>
        <w:t>ku do każdego wniosku z osobna.</w:t>
      </w:r>
    </w:p>
    <w:p w14:paraId="55CDD640"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Potwierdzeniem oceny jest złożenie podpisu na kartach oceny przez członka Rady na posiedzeniu. </w:t>
      </w:r>
    </w:p>
    <w:p w14:paraId="54A12A5E" w14:textId="1060427C"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Każdy członek Rady oceniający wniosek </w:t>
      </w:r>
      <w:r w:rsidRPr="009D4E26">
        <w:rPr>
          <w:rFonts w:cstheme="minorHAnsi"/>
          <w:u w:val="single"/>
        </w:rPr>
        <w:t>ma obowiązek</w:t>
      </w:r>
      <w:r w:rsidRPr="009D4E26">
        <w:rPr>
          <w:rFonts w:cstheme="minorHAnsi"/>
        </w:rPr>
        <w:t xml:space="preserve"> uzasadnić swoja ocenę w przypadku: nie przyznania maksymalnej liczby punktów na poziomie oceny z lokalnymi kryteriami wyboru</w:t>
      </w:r>
      <w:r w:rsidR="00EE22F2">
        <w:rPr>
          <w:rFonts w:cstheme="minorHAnsi"/>
        </w:rPr>
        <w:t>.</w:t>
      </w:r>
      <w:r w:rsidRPr="009D4E26">
        <w:rPr>
          <w:rFonts w:cstheme="minorHAnsi"/>
        </w:rPr>
        <w:t xml:space="preserve"> </w:t>
      </w:r>
    </w:p>
    <w:p w14:paraId="45E33F2D" w14:textId="0F10287D"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Z każdego posiedzenia Rady dotyczącego oceny i wyboru </w:t>
      </w:r>
      <w:r w:rsidR="00827AF4" w:rsidRPr="009D4E26">
        <w:rPr>
          <w:rFonts w:cstheme="minorHAnsi"/>
        </w:rPr>
        <w:t>wniosków</w:t>
      </w:r>
      <w:r w:rsidRPr="009D4E26">
        <w:rPr>
          <w:rFonts w:cstheme="minorHAnsi"/>
        </w:rPr>
        <w:t xml:space="preserve"> sporządza się protokół zawierający informację o wyłączeniach w związku z potencjalnym konfliktem interesów. Protokół umieszcza się na stronie </w:t>
      </w:r>
      <w:hyperlink r:id="rId14" w:history="1">
        <w:r w:rsidRPr="009D4E26">
          <w:rPr>
            <w:rStyle w:val="Hipercze"/>
            <w:rFonts w:cstheme="minorHAnsi"/>
            <w:color w:val="auto"/>
          </w:rPr>
          <w:t>www.kwiatlnu.eu</w:t>
        </w:r>
      </w:hyperlink>
      <w:r w:rsidRPr="009D4E26">
        <w:rPr>
          <w:rFonts w:cstheme="minorHAnsi"/>
        </w:rPr>
        <w:t>.</w:t>
      </w:r>
    </w:p>
    <w:p w14:paraId="022673F8" w14:textId="77777777" w:rsidR="00B02E5E" w:rsidRPr="009D4E26" w:rsidRDefault="00B02E5E" w:rsidP="009D4E26">
      <w:pPr>
        <w:widowControl w:val="0"/>
        <w:suppressAutoHyphens/>
        <w:jc w:val="both"/>
        <w:rPr>
          <w:rFonts w:asciiTheme="minorHAnsi" w:hAnsiTheme="minorHAnsi" w:cstheme="minorHAnsi"/>
        </w:rPr>
      </w:pPr>
    </w:p>
    <w:p w14:paraId="39FB71D2" w14:textId="77777777" w:rsidR="00587588" w:rsidRPr="009D4E26" w:rsidRDefault="00587588" w:rsidP="009D4E26">
      <w:pPr>
        <w:pStyle w:val="Akapitzlist"/>
        <w:widowControl w:val="0"/>
        <w:suppressAutoHyphens/>
        <w:spacing w:after="0" w:line="240" w:lineRule="auto"/>
        <w:ind w:left="709"/>
        <w:jc w:val="both"/>
        <w:rPr>
          <w:rFonts w:cstheme="minorHAnsi"/>
        </w:rPr>
      </w:pPr>
    </w:p>
    <w:p w14:paraId="7E4A6246" w14:textId="77777777" w:rsidR="00587588" w:rsidRPr="007D081D" w:rsidRDefault="00F362C1" w:rsidP="009D4E26">
      <w:pPr>
        <w:pStyle w:val="Akapitzlist"/>
        <w:widowControl w:val="0"/>
        <w:suppressAutoHyphens/>
        <w:spacing w:after="0" w:line="240" w:lineRule="auto"/>
        <w:ind w:left="709"/>
        <w:jc w:val="center"/>
        <w:rPr>
          <w:rFonts w:cstheme="minorHAnsi"/>
          <w:b/>
        </w:rPr>
      </w:pPr>
      <w:r w:rsidRPr="007D081D">
        <w:rPr>
          <w:rFonts w:cstheme="minorHAnsi"/>
          <w:b/>
        </w:rPr>
        <w:t>§3</w:t>
      </w:r>
    </w:p>
    <w:p w14:paraId="2BCB23B0" w14:textId="77777777" w:rsidR="00D54450" w:rsidRPr="009D4E26" w:rsidRDefault="00D54450" w:rsidP="009D4E26">
      <w:pPr>
        <w:jc w:val="both"/>
        <w:rPr>
          <w:rFonts w:asciiTheme="minorHAnsi" w:hAnsiTheme="minorHAnsi" w:cstheme="minorHAnsi"/>
          <w:sz w:val="22"/>
          <w:szCs w:val="22"/>
        </w:rPr>
      </w:pPr>
    </w:p>
    <w:p w14:paraId="2B24EBC2" w14:textId="77777777" w:rsidR="005870A5" w:rsidRPr="009D4E26" w:rsidRDefault="005870A5" w:rsidP="009D4E26">
      <w:pPr>
        <w:pStyle w:val="Akapitzlist"/>
        <w:widowControl w:val="0"/>
        <w:numPr>
          <w:ilvl w:val="0"/>
          <w:numId w:val="22"/>
        </w:numPr>
        <w:suppressAutoHyphens/>
        <w:spacing w:after="0" w:line="240" w:lineRule="auto"/>
        <w:jc w:val="both"/>
        <w:rPr>
          <w:rFonts w:cstheme="minorHAnsi"/>
        </w:rPr>
      </w:pPr>
      <w:r w:rsidRPr="009D4E26">
        <w:rPr>
          <w:rFonts w:cstheme="minorHAnsi"/>
        </w:rPr>
        <w:t xml:space="preserve">Przewodniczący Rady lub Zastępca rozpoczyna posiedzenie dotyczące oceny wniosków zgodnie z postanowieniami niniejszej procedury. </w:t>
      </w:r>
    </w:p>
    <w:p w14:paraId="42753CA1" w14:textId="77777777" w:rsidR="004A3485" w:rsidRPr="009D4E26" w:rsidRDefault="004A3485" w:rsidP="009D4E26">
      <w:pPr>
        <w:pStyle w:val="Akapitzlist"/>
        <w:widowControl w:val="0"/>
        <w:numPr>
          <w:ilvl w:val="0"/>
          <w:numId w:val="22"/>
        </w:numPr>
        <w:suppressAutoHyphens/>
        <w:spacing w:after="0" w:line="240" w:lineRule="auto"/>
        <w:rPr>
          <w:rFonts w:cstheme="minorHAnsi"/>
        </w:rPr>
      </w:pPr>
      <w:r w:rsidRPr="009D4E26">
        <w:rPr>
          <w:rFonts w:cstheme="minorHAnsi"/>
        </w:rPr>
        <w:t xml:space="preserve">Wnioski złożone w ramach otwartego naboru wniosków o powierzenie grantów ogłaszanych przez LGD  będą ocenianie w 2 etapach:  </w:t>
      </w:r>
    </w:p>
    <w:p w14:paraId="26A3CD73"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oceny zgodności z LSR</w:t>
      </w:r>
    </w:p>
    <w:p w14:paraId="750D69E6"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 xml:space="preserve">oceny na podstawie kryteriów wyboru określonych w LSR. </w:t>
      </w:r>
    </w:p>
    <w:p w14:paraId="1EA4947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Operacje zgodne z LSR, które zostały wybrane do realizacji na podstawie kryteriów wyboru, o których mowa w ust. 2 pkt 2, podlegają procedurze ustalania kwoty wsparcia.</w:t>
      </w:r>
    </w:p>
    <w:p w14:paraId="2ADF7E8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Na ocenę zgodności operacji z LSR składa się zbadanie, czy operacja:</w:t>
      </w:r>
    </w:p>
    <w:p w14:paraId="5B04F154"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realizuje cel ogólny i szczegółowy LSR, poprzez osiąganie zaplanowanych w LSR wskaźników,</w:t>
      </w:r>
    </w:p>
    <w:p w14:paraId="67AB14E1"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jest zgodna z Programem Rozwoju Obszarów Wiejskich na lata 2014-2020 („PROW”), w tym, z:</w:t>
      </w:r>
    </w:p>
    <w:p w14:paraId="294CF520"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r w:rsidRPr="009D4E26">
        <w:rPr>
          <w:rFonts w:cstheme="minorHAnsi"/>
        </w:rPr>
        <w:t>obowiązującymi w ramach naboru warunkami udzielenia wsparcia oraz</w:t>
      </w:r>
    </w:p>
    <w:p w14:paraId="086489FF"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r w:rsidRPr="009D4E26">
        <w:rPr>
          <w:rFonts w:cstheme="minorHAnsi"/>
        </w:rPr>
        <w:t>formą wsparcia wskazaną w ogłoszeniu o naborze wniosków,</w:t>
      </w:r>
    </w:p>
    <w:p w14:paraId="140EA60D" w14:textId="47AC9C86" w:rsidR="005870A5" w:rsidRPr="009D4E26" w:rsidRDefault="00EE22F2" w:rsidP="009D4E26">
      <w:pPr>
        <w:ind w:firstLine="709"/>
        <w:jc w:val="both"/>
        <w:rPr>
          <w:rFonts w:asciiTheme="minorHAnsi" w:hAnsiTheme="minorHAnsi" w:cstheme="minorHAnsi"/>
          <w:sz w:val="22"/>
          <w:szCs w:val="22"/>
        </w:rPr>
      </w:pPr>
      <w:r>
        <w:rPr>
          <w:rFonts w:asciiTheme="minorHAnsi" w:hAnsiTheme="minorHAnsi" w:cstheme="minorHAnsi"/>
          <w:sz w:val="22"/>
          <w:szCs w:val="22"/>
        </w:rPr>
        <w:t xml:space="preserve">c.  </w:t>
      </w:r>
      <w:r w:rsidR="005870A5" w:rsidRPr="009D4E26">
        <w:rPr>
          <w:rFonts w:asciiTheme="minorHAnsi" w:hAnsiTheme="minorHAnsi" w:cstheme="minorHAnsi"/>
          <w:sz w:val="22"/>
          <w:szCs w:val="22"/>
        </w:rPr>
        <w:t xml:space="preserve"> zgodności z zakresem tematycznym wskazanym w ogłoszeniu o naborze wniosków,</w:t>
      </w:r>
    </w:p>
    <w:p w14:paraId="04FF66E1" w14:textId="5B266704" w:rsidR="005870A5" w:rsidRPr="009D4E26" w:rsidRDefault="00EE22F2" w:rsidP="00EE22F2">
      <w:pPr>
        <w:ind w:left="720"/>
        <w:jc w:val="both"/>
        <w:rPr>
          <w:rFonts w:asciiTheme="minorHAnsi" w:hAnsiTheme="minorHAnsi" w:cstheme="minorHAnsi"/>
          <w:sz w:val="22"/>
          <w:szCs w:val="22"/>
        </w:rPr>
      </w:pPr>
      <w:r>
        <w:rPr>
          <w:rFonts w:asciiTheme="minorHAnsi" w:hAnsiTheme="minorHAnsi" w:cstheme="minorHAnsi"/>
          <w:sz w:val="22"/>
          <w:szCs w:val="22"/>
        </w:rPr>
        <w:t xml:space="preserve">d. </w:t>
      </w:r>
      <w:r w:rsidR="005870A5" w:rsidRPr="009D4E26">
        <w:rPr>
          <w:rFonts w:asciiTheme="minorHAnsi" w:hAnsiTheme="minorHAnsi" w:cstheme="minorHAnsi"/>
          <w:sz w:val="22"/>
          <w:szCs w:val="22"/>
        </w:rPr>
        <w:t xml:space="preserve"> złożenia wniosku o przyznanie pomocy w miejscu i terminie wskazanym w ogłoszeniu o naborze</w:t>
      </w:r>
      <w:r>
        <w:rPr>
          <w:rFonts w:asciiTheme="minorHAnsi" w:hAnsiTheme="minorHAnsi" w:cstheme="minorHAnsi"/>
          <w:sz w:val="22"/>
          <w:szCs w:val="22"/>
        </w:rPr>
        <w:t xml:space="preserve"> </w:t>
      </w:r>
      <w:r w:rsidR="005870A5" w:rsidRPr="009D4E26">
        <w:rPr>
          <w:rFonts w:asciiTheme="minorHAnsi" w:hAnsiTheme="minorHAnsi" w:cstheme="minorHAnsi"/>
          <w:sz w:val="22"/>
          <w:szCs w:val="22"/>
        </w:rPr>
        <w:t>wniosków.</w:t>
      </w:r>
    </w:p>
    <w:p w14:paraId="551A66A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lastRenderedPageBreak/>
        <w:t xml:space="preserve">Ocena operacji dokonywana przez Radę poprzedzona jest oceną wstępną dokonywaną przez Biuro. Ocena ta ma na celu zweryfikowanie wniosku i załączników do wniosku pod kątem ich kompletności oraz pod kątem okoliczności niezbędnych do dokonania przez Radę oceny, o której mowa w ust. 2 i 3. </w:t>
      </w:r>
    </w:p>
    <w:p w14:paraId="70E024B9" w14:textId="46D2817D"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 celu dokonania oceny wstępnej pracownik Biura wypełnia dla każdego wnios</w:t>
      </w:r>
      <w:r w:rsidR="00F96BDC" w:rsidRPr="009D4E26">
        <w:rPr>
          <w:rFonts w:cstheme="minorHAnsi"/>
        </w:rPr>
        <w:t>ku kartę weryfikacji wstępnej (załącznik nr 1</w:t>
      </w:r>
      <w:r w:rsidRPr="009D4E26">
        <w:rPr>
          <w:rFonts w:cstheme="minorHAnsi"/>
        </w:rPr>
        <w:t>) ora</w:t>
      </w:r>
      <w:r w:rsidR="00F96BDC" w:rsidRPr="009D4E26">
        <w:rPr>
          <w:rFonts w:cstheme="minorHAnsi"/>
        </w:rPr>
        <w:t>z kartę zgodności z Programem (</w:t>
      </w:r>
      <w:r w:rsidRPr="009D4E26">
        <w:rPr>
          <w:rFonts w:cstheme="minorHAnsi"/>
        </w:rPr>
        <w:t xml:space="preserve">załącznik nr </w:t>
      </w:r>
      <w:r w:rsidR="00F96BDC" w:rsidRPr="009D4E26">
        <w:rPr>
          <w:rFonts w:cstheme="minorHAnsi"/>
        </w:rPr>
        <w:t>2</w:t>
      </w:r>
      <w:r w:rsidRPr="009D4E26">
        <w:rPr>
          <w:rFonts w:cstheme="minorHAnsi"/>
        </w:rPr>
        <w:t xml:space="preserve">), zawierająca punkty kontrolne wskazane w wytycznych Ministra Rolnictwa i Rozwoju Wsi. </w:t>
      </w:r>
    </w:p>
    <w:p w14:paraId="61EDBF2C" w14:textId="39B4EDAC"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Jeżeli w wyniku oceny wstępnej wniosków konieczne jest uzyskanie wyjaśnień lub dokumentów niezbędnych do oceny zgodności operacji z LSR, wyboru operacji lub ustalenia kwoty wsparcia, LGD wzywa wnioskodawcę do złożenia tych wyjaśnień lub dokumentów. Wezwanie następuje w formie pisemnej i przesyłane jest drogą elektroniczną na adres wskazany we wniosku o przyznanie pomocy. W przypadku braku takiego adresu LGD wysyła wezwanie za pośrednictwem tradycyjnej poczty. W wezwaniu LGD wskazuje kwestie, które wymagają złożenia przez wnioskodawcę wyjaśnienia lub złożenia dokumentów oraz wyznacza </w:t>
      </w:r>
      <w:proofErr w:type="spellStart"/>
      <w:r w:rsidR="00827AF4" w:rsidRPr="009D4E26">
        <w:rPr>
          <w:rFonts w:cstheme="minorHAnsi"/>
        </w:rPr>
        <w:t>grantobiorcy</w:t>
      </w:r>
      <w:proofErr w:type="spellEnd"/>
      <w:r w:rsidRPr="009D4E26">
        <w:rPr>
          <w:rFonts w:cstheme="minorHAnsi"/>
        </w:rPr>
        <w:t xml:space="preserve"> 7-dniowy termin na złożenie do LGD w formie pisemnej tych wyjaśnień lub dokumentów, pouczając o treści art. 21 ust. 1c ustawy o RLKS i o tym, że:</w:t>
      </w:r>
    </w:p>
    <w:p w14:paraId="78CBDF76" w14:textId="1F583570"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 xml:space="preserve">termin, o którym mowa wyżej liczony jest od dnia wysłania przez LGD wezwania do </w:t>
      </w:r>
      <w:proofErr w:type="spellStart"/>
      <w:r w:rsidR="00827AF4" w:rsidRPr="009D4E26">
        <w:rPr>
          <w:rFonts w:cstheme="minorHAnsi"/>
        </w:rPr>
        <w:t>grantobiorcy</w:t>
      </w:r>
      <w:proofErr w:type="spellEnd"/>
      <w:r w:rsidRPr="009D4E26">
        <w:rPr>
          <w:rFonts w:cstheme="minorHAnsi"/>
        </w:rPr>
        <w:t>;</w:t>
      </w:r>
    </w:p>
    <w:p w14:paraId="4048A1F6" w14:textId="77777777"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termin zostanie uznany za zachowany, jeżeli we wskazanym wyżej terminie wyjaśnienia lub dokumenty zostaną złożone w formie pisemnej w biurze LGD (liczy się data wpływu pisma do biura LGD, a nie data stempla pocztowego);</w:t>
      </w:r>
    </w:p>
    <w:p w14:paraId="3D7A2A04" w14:textId="2BBFFBC6"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 xml:space="preserve">zgodnie z art. 21 ust. 1c ustawy o RLKS, </w:t>
      </w:r>
      <w:r w:rsidR="00F96BDC" w:rsidRPr="009D4E26">
        <w:rPr>
          <w:rFonts w:cstheme="minorHAnsi"/>
        </w:rPr>
        <w:t>grantobiorca</w:t>
      </w:r>
      <w:r w:rsidRPr="009D4E26">
        <w:rPr>
          <w:rFonts w:cstheme="minorHAnsi"/>
        </w:rPr>
        <w:t xml:space="preserve"> jest obowiązany przedstawiać dowody oraz składać wyjaśnienia niezbędne do oceny zgodności operacji z LSR, wyboru operacji lub ustalenia kwoty wsparcia zgodnie z prawdą i bez zatajania czegokolwiek. Ciężar udowodnienia faktu spoczywa na </w:t>
      </w:r>
      <w:proofErr w:type="spellStart"/>
      <w:r w:rsidR="00827AF4" w:rsidRPr="009D4E26">
        <w:rPr>
          <w:rFonts w:cstheme="minorHAnsi"/>
        </w:rPr>
        <w:t>grantobiorcy</w:t>
      </w:r>
      <w:proofErr w:type="spellEnd"/>
      <w:r w:rsidRPr="009D4E26">
        <w:rPr>
          <w:rFonts w:cstheme="minorHAnsi"/>
        </w:rPr>
        <w:t xml:space="preserve">. W związku z czym jeżeli w wyznaczonym terminie </w:t>
      </w:r>
      <w:r w:rsidR="00F96BDC" w:rsidRPr="009D4E26">
        <w:rPr>
          <w:rFonts w:cstheme="minorHAnsi"/>
        </w:rPr>
        <w:t>grantobiorca</w:t>
      </w:r>
      <w:r w:rsidRPr="009D4E26">
        <w:rPr>
          <w:rFonts w:cstheme="minorHAnsi"/>
        </w:rPr>
        <w:t xml:space="preserve"> nie przedłoży stosownych wyjaśnień lub dokumentów, LGD uzna okoliczności, których mają dotyczyć te dokumenty lub wyjaśnienia, za nieudowodnione przez wnioskodawcę.</w:t>
      </w:r>
    </w:p>
    <w:p w14:paraId="12AAB884" w14:textId="19276F77"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Wezwanie </w:t>
      </w:r>
      <w:proofErr w:type="spellStart"/>
      <w:r w:rsidR="00827AF4" w:rsidRPr="009D4E26">
        <w:rPr>
          <w:rFonts w:cstheme="minorHAnsi"/>
        </w:rPr>
        <w:t>grantobiorcy</w:t>
      </w:r>
      <w:proofErr w:type="spellEnd"/>
      <w:r w:rsidRPr="009D4E26">
        <w:rPr>
          <w:rFonts w:cstheme="minorHAnsi"/>
        </w:rPr>
        <w:t xml:space="preserve"> przez LGD do złożenia wyjaśnień lub dokumentów powinno mieć miejsce przynajmniej w przypadku, gdy:</w:t>
      </w:r>
    </w:p>
    <w:p w14:paraId="3A756A5C" w14:textId="46B7FEFB"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mający stanowić załącznik do wniosku nie został do niego załączony pomimo zaznaczenia w formularzu wniosku, iż </w:t>
      </w:r>
      <w:r w:rsidR="00F96BDC" w:rsidRPr="009D4E26">
        <w:rPr>
          <w:rFonts w:cstheme="minorHAnsi"/>
        </w:rPr>
        <w:t>grantobiorca</w:t>
      </w:r>
      <w:r w:rsidRPr="009D4E26">
        <w:rPr>
          <w:rFonts w:cstheme="minorHAnsi"/>
        </w:rPr>
        <w:t xml:space="preserve"> go załącza;</w:t>
      </w:r>
    </w:p>
    <w:p w14:paraId="457E0D0F" w14:textId="0A91EC1E"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nie został załączony (niezależnie od deklaracji </w:t>
      </w:r>
      <w:proofErr w:type="spellStart"/>
      <w:r w:rsidR="00827AF4" w:rsidRPr="009D4E26">
        <w:rPr>
          <w:rFonts w:cstheme="minorHAnsi"/>
        </w:rPr>
        <w:t>grantobiorcy</w:t>
      </w:r>
      <w:proofErr w:type="spellEnd"/>
      <w:r w:rsidRPr="009D4E26">
        <w:rPr>
          <w:rFonts w:cstheme="minorHAnsi"/>
        </w:rPr>
        <w:t xml:space="preserve"> wyrażonej we wniosku), a z formularza wniosku wynika, że jest to dokument obowiązkowy;</w:t>
      </w:r>
    </w:p>
    <w:p w14:paraId="0FC7D6CA" w14:textId="77777777"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informacje zawarte we wniosku o przyznanie pomocy oraz załącznikach są rozbieżne.</w:t>
      </w:r>
    </w:p>
    <w:p w14:paraId="0087AACD" w14:textId="56E4598D"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LGD może wzywać wnioskodawcę do złożenia wyjaśnień dotyczących określonej kwestii lub przedłożenia określonego dokumentu tylko raz. W przypadku nieprzedłożenia wyjaśnień lub dokumentów w wyznaczonym terminie, uznaje się, że </w:t>
      </w:r>
      <w:r w:rsidR="00F96BDC" w:rsidRPr="009D4E26">
        <w:rPr>
          <w:rFonts w:cstheme="minorHAnsi"/>
        </w:rPr>
        <w:t>Grantobiorca</w:t>
      </w:r>
      <w:r w:rsidRPr="009D4E26">
        <w:rPr>
          <w:rFonts w:cstheme="minorHAnsi"/>
        </w:rPr>
        <w:t xml:space="preserve"> nie udowodnił okoliczności, które miały zostać dzięki tym wyjaśnieniom lub dokumentom potwierdzone.</w:t>
      </w:r>
    </w:p>
    <w:p w14:paraId="6FB01C6A"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Po otrzymaniu wyjaśnień lub dodatkowych dokumentów lub po bezskutecznym upływie 7-dniowego terminu na ich przedłożenie biuro kończy wstępną ocenę wniosków. Wstępna ocena wniosków powinna zostać zakończona najpóźniej w dniu poprzedzającym dzień wyznaczony na posiedzenie Rady.</w:t>
      </w:r>
    </w:p>
    <w:p w14:paraId="523EF336"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Wyniki oceny wstępnej Biuro utrwala w formie pisemnej oraz wprowadza do aplika</w:t>
      </w:r>
      <w:r w:rsidR="004A3485" w:rsidRPr="009D4E26">
        <w:rPr>
          <w:rFonts w:cstheme="minorHAnsi"/>
        </w:rPr>
        <w:t xml:space="preserve">cji </w:t>
      </w:r>
      <w:r w:rsidRPr="009D4E26">
        <w:rPr>
          <w:rFonts w:cstheme="minorHAnsi"/>
        </w:rPr>
        <w:t xml:space="preserve"> i prezentuje na posiedzeniu Rady. Rada ocenia operacje po zapoznaniu się z wynikami oceny wstępnej, nie jest jednak związana ustaleniami poczynionymi przez Biuro  – ostateczna decyzja dotycząca oceny operacji należy bowiem do Rady. </w:t>
      </w:r>
    </w:p>
    <w:p w14:paraId="540548CA" w14:textId="26A98FAB"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Z dokonywania oceny wstępnej dotyczącej danego wniosku wyłączony jest pracownik Biura LGD, co do którego mogą zachodzić wątpliwości dotyczące braku bezstronności. W celu zapewnienia bezstronności każdy pracownik Biura zaangażowany w ocenę wstępną wniosków złożonych w 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 dotyczące braku bezstronności. </w:t>
      </w:r>
    </w:p>
    <w:p w14:paraId="380FA9AC" w14:textId="77777777" w:rsidR="00A135A7" w:rsidRPr="009D4E26" w:rsidRDefault="00A135A7" w:rsidP="009D4E26">
      <w:pPr>
        <w:pStyle w:val="Default"/>
        <w:rPr>
          <w:rFonts w:asciiTheme="minorHAnsi" w:hAnsiTheme="minorHAnsi" w:cstheme="minorHAnsi"/>
          <w:b/>
          <w:bCs/>
          <w:color w:val="FF0000"/>
          <w:sz w:val="22"/>
          <w:szCs w:val="22"/>
        </w:rPr>
      </w:pPr>
    </w:p>
    <w:p w14:paraId="201376A2" w14:textId="77777777" w:rsidR="009D4E26" w:rsidRDefault="009D4E26" w:rsidP="009D4E26">
      <w:pPr>
        <w:pStyle w:val="Default"/>
        <w:ind w:left="720"/>
        <w:jc w:val="center"/>
        <w:rPr>
          <w:rFonts w:asciiTheme="minorHAnsi" w:hAnsiTheme="minorHAnsi" w:cstheme="minorHAnsi"/>
          <w:b/>
          <w:bCs/>
          <w:color w:val="auto"/>
          <w:sz w:val="22"/>
          <w:szCs w:val="22"/>
        </w:rPr>
      </w:pPr>
    </w:p>
    <w:p w14:paraId="25BAEC69" w14:textId="77777777" w:rsidR="009D4E26" w:rsidRDefault="009D4E26" w:rsidP="009D4E26">
      <w:pPr>
        <w:pStyle w:val="Default"/>
        <w:ind w:left="720"/>
        <w:jc w:val="center"/>
        <w:rPr>
          <w:rFonts w:asciiTheme="minorHAnsi" w:hAnsiTheme="minorHAnsi" w:cstheme="minorHAnsi"/>
          <w:b/>
          <w:bCs/>
          <w:color w:val="auto"/>
          <w:sz w:val="22"/>
          <w:szCs w:val="22"/>
        </w:rPr>
      </w:pPr>
    </w:p>
    <w:p w14:paraId="36EF0743" w14:textId="7B59F674" w:rsidR="0045609D" w:rsidRPr="007D081D" w:rsidRDefault="004A3485"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4</w:t>
      </w:r>
    </w:p>
    <w:p w14:paraId="0AF6637E" w14:textId="0AD96CAE" w:rsidR="0045609D" w:rsidRDefault="007D081D" w:rsidP="009D4E26">
      <w:pPr>
        <w:autoSpaceDE w:val="0"/>
        <w:autoSpaceDN w:val="0"/>
        <w:adjustRightInd w:val="0"/>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            </w:t>
      </w:r>
      <w:r w:rsidR="00294753" w:rsidRPr="009D4E26">
        <w:rPr>
          <w:rFonts w:asciiTheme="minorHAnsi" w:eastAsia="Calibri" w:hAnsiTheme="minorHAnsi" w:cs="Calibri"/>
          <w:b/>
          <w:sz w:val="22"/>
          <w:szCs w:val="22"/>
          <w:lang w:eastAsia="en-US"/>
        </w:rPr>
        <w:t xml:space="preserve">Ocena zgodności z </w:t>
      </w:r>
      <w:r w:rsidR="0045609D" w:rsidRPr="009D4E26">
        <w:rPr>
          <w:rFonts w:asciiTheme="minorHAnsi" w:eastAsia="Calibri" w:hAnsiTheme="minorHAnsi" w:cs="Calibri"/>
          <w:b/>
          <w:sz w:val="22"/>
          <w:szCs w:val="22"/>
          <w:lang w:eastAsia="en-US"/>
        </w:rPr>
        <w:t>LSR</w:t>
      </w:r>
    </w:p>
    <w:p w14:paraId="155367CD" w14:textId="77777777" w:rsidR="00EE22F2" w:rsidRPr="009D4E26" w:rsidRDefault="00EE22F2" w:rsidP="009D4E26">
      <w:pPr>
        <w:autoSpaceDE w:val="0"/>
        <w:autoSpaceDN w:val="0"/>
        <w:adjustRightInd w:val="0"/>
        <w:jc w:val="center"/>
        <w:rPr>
          <w:rFonts w:asciiTheme="minorHAnsi" w:eastAsia="Calibri" w:hAnsiTheme="minorHAnsi" w:cs="Calibri"/>
          <w:sz w:val="22"/>
          <w:szCs w:val="22"/>
          <w:lang w:eastAsia="en-US"/>
        </w:rPr>
      </w:pPr>
    </w:p>
    <w:p w14:paraId="7DC44BAC" w14:textId="0DCAE78D"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Do przeprowadzenia oceny zgodności operacji z LSR ( załącznik nr 3  ) przez członków Rady służy karta oceny zgodności z LSR, na której członek Rady zaznacza odpowiedzi dotyczące zgodności operacji z LSR, odpowiadając na pytania </w:t>
      </w:r>
      <w:r w:rsidR="00032EF7" w:rsidRPr="009D4E26">
        <w:rPr>
          <w:rFonts w:asciiTheme="minorHAnsi" w:eastAsia="SimSun" w:hAnsiTheme="minorHAnsi" w:cs="Calibri"/>
          <w:kern w:val="1"/>
          <w:sz w:val="22"/>
          <w:szCs w:val="22"/>
          <w:lang w:eastAsia="hi-IN" w:bidi="hi-IN"/>
        </w:rPr>
        <w:t xml:space="preserve">zawarte w karcie. </w:t>
      </w:r>
    </w:p>
    <w:p w14:paraId="6E97F460" w14:textId="1BA79B14"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J</w:t>
      </w:r>
      <w:r w:rsidR="00032EF7" w:rsidRPr="009D4E26">
        <w:rPr>
          <w:rFonts w:asciiTheme="minorHAnsi" w:eastAsia="SimSun" w:hAnsiTheme="minorHAnsi" w:cs="Calibri"/>
          <w:kern w:val="1"/>
          <w:sz w:val="22"/>
          <w:szCs w:val="22"/>
          <w:lang w:eastAsia="hi-IN" w:bidi="hi-IN"/>
        </w:rPr>
        <w:t>eżeli członek Rady, udzieli</w:t>
      </w:r>
      <w:r w:rsidRPr="009D4E26">
        <w:rPr>
          <w:rFonts w:asciiTheme="minorHAnsi" w:eastAsia="SimSun" w:hAnsiTheme="minorHAnsi" w:cs="Calibri"/>
          <w:kern w:val="1"/>
          <w:sz w:val="22"/>
          <w:szCs w:val="22"/>
          <w:lang w:eastAsia="hi-IN" w:bidi="hi-IN"/>
        </w:rPr>
        <w:t xml:space="preserve"> pozytywnej odpowiedzi na wszystkie pytania powinien na karcie zgodności operacji z LSR zaznaczyć również odpowiedź, że uznaje operację za zgodną z LSR. W przypadku negatywnej odpowiedzi na którekolwiek z pytań, członek Rady powinien na karcie zgodności operacji z LSR zaznaczyć odpowiedź, że uznaje operację za niezgodną z LSR. Negatywna ocena operacji z LSR wymaga uzasadnienia przez członka Rady.</w:t>
      </w:r>
    </w:p>
    <w:p w14:paraId="5687007C"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Oceny zgodności operacji z LSR dokonują wszyscy członkowie Rady, wobec których nie zachodzą przesłanki wyłączenia z oceny.</w:t>
      </w:r>
    </w:p>
    <w:p w14:paraId="142A6765"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Operacja otrzymuje pozytywną ocenę zgodność z LSR, jeśli zwykła większość członków Rady uznało operację za zgodną z LSR. W przypadku równej liczby głosów za zgodnością operacji z LSR i przeciwko tej zgodności, rozstrzygające znaczenie ma głos Przewodniczącego Rady lub Zastępcy prowadzącego posiedzenie Rady.</w:t>
      </w:r>
    </w:p>
    <w:p w14:paraId="39CD5912"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Operacja, która nie otrzymała pozytywnej oceny jw., nie podlega dalszej ocenie co skutkuje odrzuceniem wniosku (wniosek ten nie podlega dalszej ocenie, co oznacza że nie zostanie wybrany do realizacji), jednak ostateczna decyzja jest podejmowana w drodze głosowania na posiedzeniu. </w:t>
      </w:r>
    </w:p>
    <w:p w14:paraId="15DED70A" w14:textId="77777777" w:rsidR="0045609D" w:rsidRPr="009D4E26" w:rsidRDefault="0045609D" w:rsidP="009D4E26">
      <w:pPr>
        <w:widowControl w:val="0"/>
        <w:numPr>
          <w:ilvl w:val="0"/>
          <w:numId w:val="24"/>
        </w:numPr>
        <w:suppressAutoHyphens/>
        <w:autoSpaceDE w:val="0"/>
        <w:autoSpaceDN w:val="0"/>
        <w:adjustRightInd w:val="0"/>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Po zakończeniu oceny, o której mowa w poprzednich ustępach tego paragrafu, tworzy się </w:t>
      </w:r>
      <w:r w:rsidRPr="009D4E26">
        <w:rPr>
          <w:rFonts w:asciiTheme="minorHAnsi" w:eastAsia="Calibri" w:hAnsiTheme="minorHAnsi" w:cs="Calibri"/>
          <w:b/>
          <w:sz w:val="22"/>
          <w:szCs w:val="22"/>
          <w:lang w:eastAsia="en-US"/>
        </w:rPr>
        <w:t>listę operacji zgodnych z LSR</w:t>
      </w:r>
      <w:r w:rsidRPr="009D4E26">
        <w:rPr>
          <w:rFonts w:asciiTheme="minorHAnsi" w:eastAsia="Calibri" w:hAnsiTheme="minorHAnsi" w:cs="Calibri"/>
          <w:sz w:val="22"/>
          <w:szCs w:val="22"/>
          <w:lang w:eastAsia="en-US"/>
        </w:rPr>
        <w:t>, którą Rada zatwierdza odrębną uchwałą.</w:t>
      </w:r>
    </w:p>
    <w:p w14:paraId="20EC69C2" w14:textId="5B1B3190"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Jeśli wniosek został odrzucony z powodu niezgodności z LSR, </w:t>
      </w:r>
      <w:r w:rsidR="00F96BDC" w:rsidRPr="009D4E26">
        <w:rPr>
          <w:rFonts w:asciiTheme="minorHAnsi" w:eastAsia="Calibri" w:hAnsiTheme="minorHAnsi" w:cs="Calibri"/>
          <w:sz w:val="22"/>
          <w:szCs w:val="22"/>
          <w:lang w:eastAsia="en-US"/>
        </w:rPr>
        <w:t>grantobiorca</w:t>
      </w:r>
      <w:r w:rsidRPr="009D4E26">
        <w:rPr>
          <w:rFonts w:asciiTheme="minorHAnsi" w:eastAsia="Calibri" w:hAnsiTheme="minorHAnsi" w:cs="Calibri"/>
          <w:sz w:val="22"/>
          <w:szCs w:val="22"/>
          <w:lang w:eastAsia="en-US"/>
        </w:rPr>
        <w:t xml:space="preserve"> informowany jest o przyczynach odrzucenia wniosku oraz o możliwości złożenia </w:t>
      </w:r>
      <w:r w:rsidR="00032EF7" w:rsidRPr="009D4E26">
        <w:rPr>
          <w:rFonts w:asciiTheme="minorHAnsi" w:eastAsia="Calibri" w:hAnsiTheme="minorHAnsi" w:cs="Calibri"/>
          <w:sz w:val="22"/>
          <w:szCs w:val="22"/>
          <w:lang w:eastAsia="en-US"/>
        </w:rPr>
        <w:t>odwołania</w:t>
      </w:r>
      <w:r w:rsidRPr="009D4E26">
        <w:rPr>
          <w:rFonts w:asciiTheme="minorHAnsi" w:eastAsia="Calibri" w:hAnsiTheme="minorHAnsi" w:cs="Calibri"/>
          <w:sz w:val="22"/>
          <w:szCs w:val="22"/>
          <w:lang w:eastAsia="en-US"/>
        </w:rPr>
        <w:t xml:space="preserve">. </w:t>
      </w:r>
    </w:p>
    <w:p w14:paraId="28A20A20" w14:textId="77777777"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Wnioski uznane przez Radę za zgodne z LSR przekazywane są do oceny merytorycznej w oparciu o listę kryteriów wyboru punktowych zwanej dalej oceną merytoryczną - punktową. </w:t>
      </w:r>
    </w:p>
    <w:p w14:paraId="6B6B2E83" w14:textId="77777777" w:rsidR="0045609D" w:rsidRPr="009D4E26" w:rsidRDefault="0045609D" w:rsidP="009D4E26">
      <w:pPr>
        <w:pStyle w:val="Default"/>
        <w:ind w:left="720"/>
        <w:jc w:val="center"/>
        <w:rPr>
          <w:rFonts w:asciiTheme="minorHAnsi" w:hAnsiTheme="minorHAnsi" w:cstheme="minorHAnsi"/>
          <w:b/>
          <w:bCs/>
          <w:color w:val="auto"/>
          <w:sz w:val="22"/>
          <w:szCs w:val="22"/>
        </w:rPr>
      </w:pPr>
    </w:p>
    <w:p w14:paraId="09E43CF9" w14:textId="77777777" w:rsidR="00D673EF" w:rsidRPr="007D081D" w:rsidRDefault="0045609D"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§5</w:t>
      </w:r>
    </w:p>
    <w:p w14:paraId="1403C6CB" w14:textId="77777777" w:rsidR="00D673EF" w:rsidRPr="009D4E26" w:rsidRDefault="00D673EF" w:rsidP="009D4E26">
      <w:pPr>
        <w:pStyle w:val="Default"/>
        <w:ind w:left="720"/>
        <w:jc w:val="center"/>
        <w:rPr>
          <w:rFonts w:asciiTheme="minorHAnsi" w:hAnsiTheme="minorHAnsi" w:cstheme="minorHAnsi"/>
          <w:b/>
          <w:color w:val="auto"/>
          <w:sz w:val="22"/>
          <w:szCs w:val="22"/>
        </w:rPr>
      </w:pPr>
      <w:r w:rsidRPr="009D4E26">
        <w:rPr>
          <w:rFonts w:asciiTheme="minorHAnsi" w:hAnsiTheme="minorHAnsi" w:cstheme="minorHAnsi"/>
          <w:b/>
          <w:color w:val="auto"/>
          <w:sz w:val="22"/>
          <w:szCs w:val="22"/>
        </w:rPr>
        <w:t xml:space="preserve">Ocena na podstawie kryteriów wyboru projektów </w:t>
      </w:r>
      <w:r w:rsidR="003B0E9E" w:rsidRPr="009D4E26">
        <w:rPr>
          <w:rFonts w:asciiTheme="minorHAnsi" w:hAnsiTheme="minorHAnsi" w:cstheme="minorHAnsi"/>
          <w:b/>
          <w:color w:val="auto"/>
          <w:sz w:val="22"/>
          <w:szCs w:val="22"/>
        </w:rPr>
        <w:t xml:space="preserve">grantowych </w:t>
      </w:r>
      <w:r w:rsidRPr="009D4E26">
        <w:rPr>
          <w:rFonts w:asciiTheme="minorHAnsi" w:hAnsiTheme="minorHAnsi" w:cstheme="minorHAnsi"/>
          <w:b/>
          <w:color w:val="auto"/>
          <w:sz w:val="22"/>
          <w:szCs w:val="22"/>
        </w:rPr>
        <w:t>określonych w LSR</w:t>
      </w:r>
    </w:p>
    <w:p w14:paraId="6FEE2545" w14:textId="77777777" w:rsidR="00D673EF" w:rsidRPr="009D4E26" w:rsidRDefault="00D673EF" w:rsidP="009D4E26">
      <w:pPr>
        <w:pStyle w:val="Default"/>
        <w:jc w:val="both"/>
        <w:rPr>
          <w:rFonts w:asciiTheme="minorHAnsi" w:eastAsia="SimSun" w:hAnsiTheme="minorHAnsi" w:cstheme="minorHAnsi"/>
          <w:b/>
          <w:color w:val="auto"/>
          <w:sz w:val="22"/>
          <w:szCs w:val="22"/>
        </w:rPr>
      </w:pPr>
    </w:p>
    <w:p w14:paraId="1E18CBDE"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Do przeprowadzenia oceny służą karty oceny wg. kryteriów wyboru projektów, które stanowią</w:t>
      </w:r>
      <w:r w:rsidR="003B0E9E" w:rsidRPr="009D4E26">
        <w:rPr>
          <w:rFonts w:asciiTheme="minorHAnsi" w:hAnsiTheme="minorHAnsi" w:cstheme="minorHAnsi"/>
          <w:color w:val="auto"/>
          <w:sz w:val="22"/>
          <w:szCs w:val="22"/>
        </w:rPr>
        <w:t xml:space="preserve"> załącznik nr 4a, 4b </w:t>
      </w:r>
      <w:r w:rsidRPr="009D4E26">
        <w:rPr>
          <w:rFonts w:asciiTheme="minorHAnsi" w:hAnsiTheme="minorHAnsi" w:cstheme="minorHAnsi"/>
          <w:color w:val="auto"/>
          <w:sz w:val="22"/>
          <w:szCs w:val="22"/>
        </w:rPr>
        <w:t>do procedury.</w:t>
      </w:r>
    </w:p>
    <w:p w14:paraId="3851CA9B"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Oceny dokonują wsz</w:t>
      </w:r>
      <w:r w:rsidR="0045609D" w:rsidRPr="009D4E26">
        <w:rPr>
          <w:rFonts w:asciiTheme="minorHAnsi" w:hAnsiTheme="minorHAnsi" w:cstheme="minorHAnsi"/>
          <w:color w:val="auto"/>
          <w:sz w:val="22"/>
          <w:szCs w:val="22"/>
        </w:rPr>
        <w:t>yscy bezstronni członkowie Rady , którzy nie podlegają wyłączeniu ze względu na okoliczności mogące budzić wątpliwość co do ich bezstronności lub ze względu na konieczność zachowania parytetów, o których mowa w rozporządzeniu 1303/2013.</w:t>
      </w:r>
    </w:p>
    <w:p w14:paraId="34D676AC"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Ilość punktów przyznanych danej operacji przez członków Rady to średnia wyliczona jako suma punktów przyznanych przez oceniających członków Rady na posiedzeniu podzielona przez ilość członków Rady uprawnionych do głosowania.</w:t>
      </w:r>
    </w:p>
    <w:p w14:paraId="22938093"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 Liczba punktów podawana jest z dokładnością dwóch miejsc po przecinku, z zachowaniem matematycznych zasad.</w:t>
      </w:r>
    </w:p>
    <w:p w14:paraId="0FB843F3" w14:textId="1DDE8CA4" w:rsidR="00D673EF" w:rsidRPr="009D4E26" w:rsidRDefault="003B0E9E" w:rsidP="009D4E26">
      <w:pPr>
        <w:pStyle w:val="Default"/>
        <w:numPr>
          <w:ilvl w:val="2"/>
          <w:numId w:val="5"/>
        </w:numPr>
        <w:tabs>
          <w:tab w:val="clear" w:pos="1364"/>
        </w:tabs>
        <w:ind w:left="709" w:hanging="284"/>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Jeśli </w:t>
      </w:r>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nie zgadza się z ilością przyznanych punków lub wniosek </w:t>
      </w:r>
      <w:r w:rsidR="00D673EF" w:rsidRPr="009D4E26">
        <w:rPr>
          <w:rFonts w:asciiTheme="minorHAnsi" w:hAnsiTheme="minorHAnsi" w:cstheme="minorHAnsi"/>
          <w:color w:val="auto"/>
          <w:sz w:val="22"/>
          <w:szCs w:val="22"/>
        </w:rPr>
        <w:t>nie otrzymał minimalnej liczby punktów lub nie zmieścił się w limicie środków dostępnych w naborze</w:t>
      </w:r>
      <w:r w:rsidR="004F348E" w:rsidRPr="009D4E26">
        <w:rPr>
          <w:rFonts w:asciiTheme="minorHAnsi" w:hAnsiTheme="minorHAnsi" w:cstheme="minorHAnsi"/>
          <w:color w:val="auto"/>
          <w:sz w:val="22"/>
          <w:szCs w:val="22"/>
        </w:rPr>
        <w:t xml:space="preserve">, </w:t>
      </w:r>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 </w:t>
      </w:r>
      <w:r w:rsidR="00D673EF" w:rsidRPr="009D4E26">
        <w:rPr>
          <w:rFonts w:asciiTheme="minorHAnsi" w:hAnsiTheme="minorHAnsi" w:cstheme="minorHAnsi"/>
          <w:color w:val="auto"/>
          <w:sz w:val="22"/>
          <w:szCs w:val="22"/>
        </w:rPr>
        <w:t xml:space="preserve">jest informowany o możliwości złożenia </w:t>
      </w:r>
      <w:r w:rsidRPr="009D4E26">
        <w:rPr>
          <w:rFonts w:asciiTheme="minorHAnsi" w:hAnsiTheme="minorHAnsi" w:cstheme="minorHAnsi"/>
          <w:color w:val="auto"/>
          <w:sz w:val="22"/>
          <w:szCs w:val="22"/>
        </w:rPr>
        <w:t>odwołania</w:t>
      </w:r>
      <w:r w:rsidR="00D673EF" w:rsidRPr="009D4E26">
        <w:rPr>
          <w:rFonts w:asciiTheme="minorHAnsi" w:hAnsiTheme="minorHAnsi" w:cstheme="minorHAnsi"/>
          <w:color w:val="auto"/>
          <w:sz w:val="22"/>
          <w:szCs w:val="22"/>
        </w:rPr>
        <w:t xml:space="preserve">. </w:t>
      </w:r>
    </w:p>
    <w:p w14:paraId="2B136BC3" w14:textId="77777777" w:rsidR="00D673EF" w:rsidRPr="009D4E26" w:rsidRDefault="00D673EF" w:rsidP="009D4E26">
      <w:pPr>
        <w:pStyle w:val="Default"/>
        <w:jc w:val="both"/>
        <w:rPr>
          <w:rFonts w:asciiTheme="minorHAnsi" w:hAnsiTheme="minorHAnsi" w:cstheme="minorHAnsi"/>
          <w:color w:val="auto"/>
          <w:sz w:val="22"/>
          <w:szCs w:val="22"/>
        </w:rPr>
      </w:pPr>
    </w:p>
    <w:p w14:paraId="354B1288" w14:textId="0C3CB5F2" w:rsidR="00D673EF" w:rsidRPr="007D081D" w:rsidRDefault="00A135A7"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6</w:t>
      </w:r>
    </w:p>
    <w:p w14:paraId="1C12B30A" w14:textId="77777777" w:rsidR="00D673EF" w:rsidRPr="009D4E26" w:rsidRDefault="00D673EF" w:rsidP="009D4E26">
      <w:pPr>
        <w:pStyle w:val="Default"/>
        <w:ind w:left="426"/>
        <w:jc w:val="center"/>
        <w:rPr>
          <w:rFonts w:asciiTheme="minorHAnsi" w:hAnsiTheme="minorHAnsi" w:cstheme="minorHAnsi"/>
          <w:bCs/>
          <w:color w:val="auto"/>
          <w:sz w:val="22"/>
          <w:szCs w:val="22"/>
        </w:rPr>
      </w:pPr>
      <w:r w:rsidRPr="009D4E26">
        <w:rPr>
          <w:rFonts w:asciiTheme="minorHAnsi" w:hAnsiTheme="minorHAnsi" w:cstheme="minorHAnsi"/>
          <w:b/>
          <w:bCs/>
          <w:color w:val="auto"/>
          <w:sz w:val="22"/>
          <w:szCs w:val="22"/>
        </w:rPr>
        <w:t>Ustalenie kwoty wsparcia</w:t>
      </w:r>
    </w:p>
    <w:p w14:paraId="146B52FD" w14:textId="77777777" w:rsidR="00D673EF" w:rsidRPr="009D4E26" w:rsidRDefault="00D673EF" w:rsidP="009D4E26">
      <w:pPr>
        <w:pStyle w:val="Default"/>
        <w:jc w:val="both"/>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 xml:space="preserve"> </w:t>
      </w:r>
    </w:p>
    <w:p w14:paraId="745B6AE8" w14:textId="77777777" w:rsidR="007333E1" w:rsidRPr="009D4E26" w:rsidRDefault="00D673EF" w:rsidP="009D4E26">
      <w:pPr>
        <w:pStyle w:val="Default"/>
        <w:ind w:left="708"/>
        <w:jc w:val="both"/>
        <w:rPr>
          <w:rFonts w:asciiTheme="minorHAnsi" w:hAnsiTheme="minorHAnsi" w:cstheme="minorHAnsi"/>
          <w:bCs/>
          <w:color w:val="auto"/>
          <w:sz w:val="22"/>
          <w:szCs w:val="22"/>
        </w:rPr>
      </w:pPr>
      <w:r w:rsidRPr="009D4E26">
        <w:rPr>
          <w:rFonts w:asciiTheme="minorHAnsi" w:hAnsiTheme="minorHAnsi" w:cstheme="minorHAnsi"/>
          <w:bCs/>
          <w:color w:val="auto"/>
          <w:sz w:val="22"/>
          <w:szCs w:val="22"/>
        </w:rPr>
        <w:t xml:space="preserve">Rada ustala kwotę wsparcia </w:t>
      </w:r>
      <w:r w:rsidR="008A0B8B" w:rsidRPr="009D4E26">
        <w:rPr>
          <w:rFonts w:asciiTheme="minorHAnsi" w:hAnsiTheme="minorHAnsi" w:cstheme="minorHAnsi"/>
          <w:bCs/>
          <w:color w:val="auto"/>
          <w:sz w:val="22"/>
          <w:szCs w:val="22"/>
        </w:rPr>
        <w:t xml:space="preserve">na </w:t>
      </w:r>
      <w:r w:rsidR="004F348E" w:rsidRPr="009D4E26">
        <w:rPr>
          <w:rFonts w:asciiTheme="minorHAnsi" w:hAnsiTheme="minorHAnsi" w:cstheme="minorHAnsi"/>
          <w:b/>
          <w:bCs/>
          <w:color w:val="auto"/>
          <w:sz w:val="22"/>
          <w:szCs w:val="22"/>
        </w:rPr>
        <w:t xml:space="preserve"> </w:t>
      </w:r>
      <w:r w:rsidR="008A0B8B" w:rsidRPr="009D4E26">
        <w:rPr>
          <w:rFonts w:asciiTheme="minorHAnsi" w:hAnsiTheme="minorHAnsi" w:cstheme="minorHAnsi"/>
          <w:bCs/>
          <w:color w:val="auto"/>
          <w:sz w:val="22"/>
          <w:szCs w:val="22"/>
        </w:rPr>
        <w:t>poniesienie</w:t>
      </w:r>
      <w:r w:rsidRPr="009D4E26">
        <w:rPr>
          <w:rFonts w:asciiTheme="minorHAnsi" w:hAnsiTheme="minorHAnsi" w:cstheme="minorHAnsi"/>
          <w:bCs/>
          <w:color w:val="auto"/>
          <w:sz w:val="22"/>
          <w:szCs w:val="22"/>
        </w:rPr>
        <w:t xml:space="preserve"> kosztów kwalifiko</w:t>
      </w:r>
      <w:r w:rsidR="00965DB9" w:rsidRPr="009D4E26">
        <w:rPr>
          <w:rFonts w:asciiTheme="minorHAnsi" w:hAnsiTheme="minorHAnsi" w:cstheme="minorHAnsi"/>
          <w:bCs/>
          <w:color w:val="auto"/>
          <w:sz w:val="22"/>
          <w:szCs w:val="22"/>
        </w:rPr>
        <w:t>walnych poprzez sprawdzenie czy k</w:t>
      </w:r>
      <w:r w:rsidR="00965DB9" w:rsidRPr="009D4E26">
        <w:rPr>
          <w:rFonts w:asciiTheme="minorHAnsi" w:hAnsiTheme="minorHAnsi" w:cstheme="minorHAnsi"/>
          <w:color w:val="auto"/>
          <w:sz w:val="22"/>
          <w:szCs w:val="22"/>
        </w:rPr>
        <w:t xml:space="preserve">oszty kwalifikowalne określone we wniosku są zgodne z zakresem kosztów kwalifikowalnych oraz zasadami dotyczącymi kwalifikowalności kosztów określonymi w § 17 </w:t>
      </w:r>
      <w:r w:rsidR="00444E84" w:rsidRPr="009D4E26">
        <w:rPr>
          <w:rFonts w:asciiTheme="minorHAnsi" w:hAnsiTheme="minorHAnsi" w:cstheme="minorHAnsi"/>
          <w:color w:val="auto"/>
          <w:sz w:val="22"/>
          <w:szCs w:val="22"/>
        </w:rPr>
        <w:t xml:space="preserve">od punktu 1-5, 7 i 9 </w:t>
      </w:r>
      <w:r w:rsidR="00965DB9" w:rsidRPr="009D4E26">
        <w:rPr>
          <w:rFonts w:asciiTheme="minorHAnsi" w:hAnsiTheme="minorHAnsi" w:cstheme="minorHAnsi"/>
          <w:color w:val="auto"/>
          <w:sz w:val="22"/>
          <w:szCs w:val="22"/>
        </w:rPr>
        <w:t>rozporządzeniu LSR</w:t>
      </w:r>
      <w:r w:rsidR="00444E84" w:rsidRPr="009D4E26">
        <w:rPr>
          <w:rFonts w:asciiTheme="minorHAnsi" w:hAnsiTheme="minorHAnsi" w:cstheme="minorHAnsi"/>
          <w:color w:val="auto"/>
          <w:sz w:val="22"/>
          <w:szCs w:val="22"/>
        </w:rPr>
        <w:t>.</w:t>
      </w:r>
      <w:r w:rsidR="007333E1" w:rsidRPr="009D4E26">
        <w:rPr>
          <w:rFonts w:asciiTheme="minorHAnsi" w:hAnsiTheme="minorHAnsi" w:cstheme="minorHAnsi"/>
          <w:bCs/>
          <w:color w:val="auto"/>
          <w:sz w:val="22"/>
          <w:szCs w:val="22"/>
        </w:rPr>
        <w:t xml:space="preserve"> </w:t>
      </w:r>
    </w:p>
    <w:p w14:paraId="72212C8E" w14:textId="00E1CA5C" w:rsidR="00D673EF" w:rsidRPr="009D4E26" w:rsidRDefault="00D673EF" w:rsidP="009D4E26">
      <w:pPr>
        <w:pStyle w:val="Default"/>
        <w:ind w:left="708"/>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kwota pomocy określona we wniosku o przyznanie pomocy przez podmiot ubiegający się o przyznanie pomocy będzie</w:t>
      </w:r>
      <w:r w:rsidR="0060324E" w:rsidRPr="009D4E26">
        <w:rPr>
          <w:rFonts w:asciiTheme="minorHAnsi" w:hAnsiTheme="minorHAnsi" w:cstheme="minorHAnsi"/>
          <w:color w:val="auto"/>
          <w:sz w:val="22"/>
          <w:szCs w:val="22"/>
        </w:rPr>
        <w:t xml:space="preserve"> </w:t>
      </w:r>
      <w:r w:rsidR="00203F37" w:rsidRPr="009D4E26">
        <w:rPr>
          <w:rFonts w:asciiTheme="minorHAnsi" w:hAnsiTheme="minorHAnsi" w:cstheme="minorHAnsi"/>
          <w:color w:val="auto"/>
          <w:sz w:val="22"/>
          <w:szCs w:val="22"/>
        </w:rPr>
        <w:t xml:space="preserve">wyższa niż dostępny limit </w:t>
      </w:r>
      <w:r w:rsidRPr="009D4E26">
        <w:rPr>
          <w:rFonts w:asciiTheme="minorHAnsi" w:hAnsiTheme="minorHAnsi" w:cstheme="minorHAnsi"/>
          <w:color w:val="auto"/>
          <w:sz w:val="22"/>
          <w:szCs w:val="22"/>
        </w:rPr>
        <w:t>dla</w:t>
      </w:r>
      <w:r w:rsidR="00203F37" w:rsidRPr="009D4E26">
        <w:rPr>
          <w:rFonts w:asciiTheme="minorHAnsi" w:hAnsiTheme="minorHAnsi" w:cstheme="minorHAnsi"/>
          <w:color w:val="auto"/>
          <w:sz w:val="22"/>
          <w:szCs w:val="22"/>
        </w:rPr>
        <w:t xml:space="preserve"> danego</w:t>
      </w:r>
      <w:r w:rsidRPr="009D4E26">
        <w:rPr>
          <w:rFonts w:asciiTheme="minorHAnsi" w:hAnsiTheme="minorHAnsi" w:cstheme="minorHAnsi"/>
          <w:color w:val="auto"/>
          <w:sz w:val="22"/>
          <w:szCs w:val="22"/>
        </w:rPr>
        <w:t xml:space="preserve"> beneficjenta </w:t>
      </w:r>
      <w:r w:rsidRPr="009D4E26">
        <w:rPr>
          <w:rFonts w:asciiTheme="minorHAnsi" w:hAnsiTheme="minorHAnsi" w:cstheme="minorHAnsi"/>
          <w:color w:val="auto"/>
          <w:sz w:val="22"/>
          <w:szCs w:val="22"/>
        </w:rPr>
        <w:lastRenderedPageBreak/>
        <w:t>(pozostający do wykorzystania limit na beneficjenta w okresie programowania 2014-2020)</w:t>
      </w:r>
      <w:r w:rsidR="0060324E" w:rsidRPr="009D4E26">
        <w:rPr>
          <w:rFonts w:asciiTheme="minorHAnsi" w:hAnsiTheme="minorHAnsi" w:cstheme="minorHAnsi"/>
          <w:color w:val="auto"/>
          <w:sz w:val="22"/>
          <w:szCs w:val="22"/>
        </w:rPr>
        <w:t xml:space="preserve"> lub </w:t>
      </w:r>
      <w:r w:rsidR="00203F37" w:rsidRPr="009D4E26">
        <w:rPr>
          <w:rFonts w:asciiTheme="minorHAnsi" w:hAnsiTheme="minorHAnsi" w:cstheme="minorHAnsi"/>
          <w:color w:val="auto"/>
          <w:sz w:val="22"/>
          <w:szCs w:val="22"/>
        </w:rPr>
        <w:t>niższa w wyniku badania racjonalności kosztów</w:t>
      </w:r>
      <w:r w:rsidR="0060324E" w:rsidRPr="009D4E26">
        <w:rPr>
          <w:rFonts w:asciiTheme="minorHAnsi" w:hAnsiTheme="minorHAnsi" w:cstheme="minorHAnsi"/>
          <w:color w:val="auto"/>
          <w:sz w:val="22"/>
          <w:szCs w:val="22"/>
        </w:rPr>
        <w:t xml:space="preserve"> przez Radę</w:t>
      </w:r>
      <w:r w:rsidR="00325C6F" w:rsidRPr="009D4E26">
        <w:rPr>
          <w:rFonts w:asciiTheme="minorHAnsi" w:hAnsiTheme="minorHAnsi" w:cstheme="minorHAnsi"/>
          <w:color w:val="auto"/>
          <w:sz w:val="22"/>
          <w:szCs w:val="22"/>
        </w:rPr>
        <w:t>, R</w:t>
      </w:r>
      <w:r w:rsidR="008A0B8B" w:rsidRPr="009D4E26">
        <w:rPr>
          <w:rFonts w:asciiTheme="minorHAnsi" w:hAnsiTheme="minorHAnsi" w:cstheme="minorHAnsi"/>
          <w:color w:val="auto"/>
          <w:sz w:val="22"/>
          <w:szCs w:val="22"/>
        </w:rPr>
        <w:t>ada</w:t>
      </w:r>
      <w:r w:rsidRPr="009D4E26">
        <w:rPr>
          <w:rFonts w:asciiTheme="minorHAnsi" w:hAnsiTheme="minorHAnsi" w:cstheme="minorHAnsi"/>
          <w:color w:val="auto"/>
          <w:sz w:val="22"/>
          <w:szCs w:val="22"/>
        </w:rPr>
        <w:t xml:space="preserve"> dokonuje ustalenia kwoty wsparcia przez odpowiednie zmniejszenie kwoty pomocy.</w:t>
      </w:r>
      <w:r w:rsidR="0060324E" w:rsidRPr="009D4E26">
        <w:rPr>
          <w:rFonts w:asciiTheme="minorHAnsi" w:hAnsiTheme="minorHAnsi" w:cstheme="minorHAnsi"/>
          <w:color w:val="auto"/>
          <w:sz w:val="22"/>
          <w:szCs w:val="22"/>
        </w:rPr>
        <w:t xml:space="preserve"> </w:t>
      </w:r>
      <w:r w:rsidR="00F96BDC" w:rsidRPr="009D4E26">
        <w:rPr>
          <w:rFonts w:asciiTheme="minorHAnsi" w:hAnsiTheme="minorHAnsi" w:cstheme="minorHAnsi"/>
          <w:color w:val="auto"/>
          <w:sz w:val="22"/>
          <w:szCs w:val="22"/>
        </w:rPr>
        <w:t>Grantobiorca</w:t>
      </w:r>
      <w:r w:rsidRPr="009D4E26">
        <w:rPr>
          <w:rFonts w:asciiTheme="minorHAnsi" w:hAnsiTheme="minorHAnsi" w:cstheme="minorHAnsi"/>
          <w:color w:val="auto"/>
          <w:sz w:val="22"/>
          <w:szCs w:val="22"/>
        </w:rPr>
        <w:t xml:space="preserve"> informowany jest o przyczynach zmniejszenia</w:t>
      </w:r>
      <w:r w:rsidR="0060324E" w:rsidRPr="009D4E26">
        <w:rPr>
          <w:rFonts w:asciiTheme="minorHAnsi" w:hAnsiTheme="minorHAnsi" w:cstheme="minorHAnsi"/>
          <w:color w:val="auto"/>
          <w:sz w:val="22"/>
          <w:szCs w:val="22"/>
        </w:rPr>
        <w:t xml:space="preserve">. Jeśli </w:t>
      </w:r>
      <w:r w:rsidR="00F96BDC" w:rsidRPr="009D4E26">
        <w:rPr>
          <w:rFonts w:asciiTheme="minorHAnsi" w:hAnsiTheme="minorHAnsi" w:cstheme="minorHAnsi"/>
          <w:color w:val="auto"/>
          <w:sz w:val="22"/>
          <w:szCs w:val="22"/>
        </w:rPr>
        <w:t>grantobiorca</w:t>
      </w:r>
      <w:r w:rsidR="0060324E" w:rsidRPr="009D4E26">
        <w:rPr>
          <w:rFonts w:asciiTheme="minorHAnsi" w:hAnsiTheme="minorHAnsi" w:cstheme="minorHAnsi"/>
          <w:color w:val="auto"/>
          <w:sz w:val="22"/>
          <w:szCs w:val="22"/>
        </w:rPr>
        <w:t xml:space="preserve"> wyraża zgodę na proponowane zmiany zobligowany jest złożyć korektę wniosku.</w:t>
      </w:r>
    </w:p>
    <w:p w14:paraId="7A5A3202" w14:textId="64648BD8" w:rsidR="00CC49AC" w:rsidRPr="009D4E26" w:rsidRDefault="004E01F8" w:rsidP="009D4E26">
      <w:pPr>
        <w:pStyle w:val="Default"/>
        <w:ind w:left="709"/>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wnioskowana kwota pomocy powoduje, że zadanie nie mieści się w limicie środków wskazanych w ogłoszeniu Rada może obniżyć kwotę wsparcia do poziomu powodującego, że dana operacja zmieści się w tym limicie. Dokonanie takiego obniżenia jest uprawnieniem, a nie obowiązkiem Rady (tzn. Rada może uznać, że w przypadku danego wniosku lub naboru nie zastosuje tego rodzaju rozwiązania). Grantobiorca informowany jest o przyczynach zmniejszenia. Jeśli grantobiorca wyraża zgodę na proponowane zmiany zobligowany jest złożyć korektę wniosku.</w:t>
      </w:r>
    </w:p>
    <w:p w14:paraId="5A8D424C" w14:textId="101CB58C" w:rsidR="00DF79B4" w:rsidRPr="007D081D" w:rsidRDefault="00294753"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7</w:t>
      </w:r>
    </w:p>
    <w:p w14:paraId="78354994" w14:textId="77777777" w:rsidR="00DF79B4" w:rsidRPr="009D4E26" w:rsidRDefault="00DF79B4" w:rsidP="009D4E26">
      <w:pPr>
        <w:pStyle w:val="Default"/>
        <w:jc w:val="center"/>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Wybór operacji i tworzenie listy rankingowej</w:t>
      </w:r>
    </w:p>
    <w:p w14:paraId="2F54A927" w14:textId="77777777" w:rsidR="00DF79B4" w:rsidRPr="009D4E26" w:rsidRDefault="00DF79B4" w:rsidP="009D4E26">
      <w:pPr>
        <w:pStyle w:val="Default"/>
        <w:jc w:val="both"/>
        <w:rPr>
          <w:rFonts w:asciiTheme="minorHAnsi" w:hAnsiTheme="minorHAnsi" w:cstheme="minorHAnsi"/>
          <w:b/>
          <w:bCs/>
          <w:color w:val="auto"/>
          <w:sz w:val="22"/>
          <w:szCs w:val="22"/>
          <w:highlight w:val="lightGray"/>
        </w:rPr>
      </w:pPr>
    </w:p>
    <w:p w14:paraId="5DEA16B5"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Po ocenie wniosków i ustaleniu kwoty wsparcia Rada bazując na wygenerowanej z aplikacji poglądowej liście zatwierdza swój wybór poprzez głosowanie nad pojedynczymi Uchwałami dotyczącymi poszczególnych operacji.</w:t>
      </w:r>
    </w:p>
    <w:p w14:paraId="7875F9EA"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W przypadku jeśli dwa lub więcej Wniosków zostanie ocenionych tak samo w każdym z poszczególnych kryteriów, o kolejności Wniosków na liście rekomendowanych do udzielenia wsparcia będzie decydowała data (kolejność) złożenia w LGD Wniosku – wsparcie otrzyma Wniosek złożony wcześniej. </w:t>
      </w:r>
    </w:p>
    <w:p w14:paraId="61016FE1"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Z głosowania wyłączają się członkowie Rady, którzy nie byli bezstronni w odniesieniu do poszczególnych operacji.</w:t>
      </w:r>
    </w:p>
    <w:p w14:paraId="0F2DFDE8" w14:textId="0326D181" w:rsidR="007E68C3" w:rsidRPr="00DB1992" w:rsidRDefault="007B7901"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Przed każdym gł</w:t>
      </w:r>
      <w:r w:rsidR="00DF79B4" w:rsidRPr="009D4E26">
        <w:rPr>
          <w:rFonts w:asciiTheme="minorHAnsi" w:hAnsiTheme="minorHAnsi" w:cstheme="minorHAnsi"/>
          <w:color w:val="auto"/>
          <w:sz w:val="22"/>
          <w:szCs w:val="22"/>
        </w:rPr>
        <w:t>osowaniem przewodniczący sprawdz</w:t>
      </w:r>
      <w:r w:rsidR="00DB1992">
        <w:rPr>
          <w:rFonts w:asciiTheme="minorHAnsi" w:hAnsiTheme="minorHAnsi" w:cstheme="minorHAnsi"/>
          <w:color w:val="auto"/>
          <w:sz w:val="22"/>
          <w:szCs w:val="22"/>
        </w:rPr>
        <w:t xml:space="preserve">a liczbę osób uprawnionych do </w:t>
      </w:r>
      <w:r w:rsidR="00DB1992" w:rsidRPr="00DB1992">
        <w:rPr>
          <w:rFonts w:asciiTheme="minorHAnsi" w:hAnsiTheme="minorHAnsi" w:cstheme="minorHAnsi"/>
          <w:color w:val="auto"/>
          <w:sz w:val="22"/>
          <w:szCs w:val="22"/>
        </w:rPr>
        <w:t>gł</w:t>
      </w:r>
      <w:r w:rsidR="00DF79B4" w:rsidRPr="00DB1992">
        <w:rPr>
          <w:rFonts w:asciiTheme="minorHAnsi" w:hAnsiTheme="minorHAnsi" w:cstheme="minorHAnsi"/>
          <w:color w:val="auto"/>
          <w:sz w:val="22"/>
          <w:szCs w:val="22"/>
        </w:rPr>
        <w:t xml:space="preserve">osowania </w:t>
      </w:r>
      <w:r w:rsidR="00E94DF0" w:rsidRPr="00DB1992">
        <w:rPr>
          <w:rFonts w:asciiTheme="minorHAnsi" w:hAnsiTheme="minorHAnsi" w:cstheme="minorHAnsi"/>
          <w:color w:val="auto"/>
          <w:sz w:val="22"/>
          <w:szCs w:val="22"/>
        </w:rPr>
        <w:t>i parytety</w:t>
      </w:r>
      <w:r w:rsidRPr="00DB1992">
        <w:rPr>
          <w:rFonts w:asciiTheme="minorHAnsi" w:hAnsiTheme="minorHAnsi" w:cstheme="minorHAnsi"/>
          <w:color w:val="auto"/>
          <w:sz w:val="22"/>
          <w:szCs w:val="22"/>
        </w:rPr>
        <w:t>.</w:t>
      </w:r>
    </w:p>
    <w:p w14:paraId="632FD9FC"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Po podjęciu uchwał, o których mowa w pkt. 1 Rada tworzy listę operacji wybranych do realizacji (listę rankingową). Lista zawiera operacje wybrane do realizacji, wraz ze wskazaniem, które z tych operacji mieszczą się w limicie środków wskazanym w ogłoszeniu o naborze.</w:t>
      </w:r>
    </w:p>
    <w:p w14:paraId="3DCA900F"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Rada podejmuje uchwałę dotyczącą zatwierdzenia listy, o której mowa w ust.5</w:t>
      </w:r>
    </w:p>
    <w:p w14:paraId="1F055E6D" w14:textId="14ABDB0E" w:rsidR="00E8620D" w:rsidRPr="009D4E26" w:rsidRDefault="00F96BDC" w:rsidP="009D4E26">
      <w:pPr>
        <w:pStyle w:val="Default"/>
        <w:numPr>
          <w:ilvl w:val="3"/>
          <w:numId w:val="26"/>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Grantobiorca</w:t>
      </w:r>
      <w:r w:rsidR="009C100D" w:rsidRPr="009D4E26">
        <w:rPr>
          <w:rFonts w:asciiTheme="minorHAnsi" w:hAnsiTheme="minorHAnsi" w:cstheme="minorHAnsi"/>
          <w:color w:val="auto"/>
          <w:sz w:val="22"/>
          <w:szCs w:val="22"/>
        </w:rPr>
        <w:t>,</w:t>
      </w:r>
      <w:r w:rsidR="00DF79B4" w:rsidRPr="009D4E26">
        <w:rPr>
          <w:rFonts w:asciiTheme="minorHAnsi" w:hAnsiTheme="minorHAnsi" w:cstheme="minorHAnsi"/>
          <w:color w:val="auto"/>
          <w:sz w:val="22"/>
          <w:szCs w:val="22"/>
        </w:rPr>
        <w:t xml:space="preserve"> jest informowany </w:t>
      </w:r>
      <w:r w:rsidR="009C100D" w:rsidRPr="009D4E26">
        <w:rPr>
          <w:rFonts w:asciiTheme="minorHAnsi" w:hAnsiTheme="minorHAnsi" w:cstheme="minorHAnsi"/>
          <w:color w:val="auto"/>
          <w:sz w:val="22"/>
          <w:szCs w:val="22"/>
          <w:u w:val="single"/>
        </w:rPr>
        <w:t>mailowo</w:t>
      </w:r>
      <w:r w:rsidR="009C100D" w:rsidRPr="009D4E26">
        <w:rPr>
          <w:rFonts w:asciiTheme="minorHAnsi" w:hAnsiTheme="minorHAnsi" w:cstheme="minorHAnsi"/>
          <w:color w:val="auto"/>
          <w:sz w:val="22"/>
          <w:szCs w:val="22"/>
        </w:rPr>
        <w:t xml:space="preserve"> </w:t>
      </w:r>
      <w:r w:rsidR="00DF79B4" w:rsidRPr="009D4E26">
        <w:rPr>
          <w:rFonts w:asciiTheme="minorHAnsi" w:hAnsiTheme="minorHAnsi" w:cstheme="minorHAnsi"/>
          <w:color w:val="auto"/>
          <w:sz w:val="22"/>
          <w:szCs w:val="22"/>
        </w:rPr>
        <w:t>w terminie 7 dni od dnia zakończenia wyboru operacji</w:t>
      </w:r>
      <w:r w:rsidR="00CD7516" w:rsidRPr="009D4E26">
        <w:rPr>
          <w:rFonts w:asciiTheme="minorHAnsi" w:hAnsiTheme="minorHAnsi" w:cstheme="minorHAnsi"/>
          <w:color w:val="auto"/>
          <w:sz w:val="22"/>
          <w:szCs w:val="22"/>
        </w:rPr>
        <w:t xml:space="preserve">. LGD wysyła </w:t>
      </w:r>
      <w:r w:rsidR="00CD7516" w:rsidRPr="009D4E26">
        <w:rPr>
          <w:rFonts w:asciiTheme="minorHAnsi" w:hAnsiTheme="minorHAnsi" w:cstheme="minorHAnsi"/>
          <w:color w:val="auto"/>
          <w:sz w:val="22"/>
          <w:szCs w:val="22"/>
          <w:u w:val="single"/>
        </w:rPr>
        <w:t>mailowo pismo</w:t>
      </w:r>
      <w:r w:rsidR="00CD7516" w:rsidRPr="009D4E26">
        <w:rPr>
          <w:rFonts w:asciiTheme="minorHAnsi" w:hAnsiTheme="minorHAnsi" w:cstheme="minorHAnsi"/>
          <w:color w:val="auto"/>
          <w:sz w:val="22"/>
          <w:szCs w:val="22"/>
        </w:rPr>
        <w:t xml:space="preserve">, </w:t>
      </w:r>
      <w:r w:rsidR="00E8620D" w:rsidRPr="009D4E26">
        <w:rPr>
          <w:rFonts w:asciiTheme="minorHAnsi" w:hAnsiTheme="minorHAnsi" w:cstheme="minorHAnsi"/>
          <w:color w:val="auto"/>
          <w:sz w:val="22"/>
          <w:szCs w:val="22"/>
        </w:rPr>
        <w:t xml:space="preserve">o decyzji Rady w sprawie </w:t>
      </w:r>
      <w:r w:rsidR="00DF79B4" w:rsidRPr="009D4E26">
        <w:rPr>
          <w:rFonts w:asciiTheme="minorHAnsi" w:hAnsiTheme="minorHAnsi" w:cstheme="minorHAnsi"/>
          <w:color w:val="auto"/>
          <w:sz w:val="22"/>
          <w:szCs w:val="22"/>
        </w:rPr>
        <w:t>wynikach oceny złożonego Wniosku</w:t>
      </w:r>
      <w:r w:rsidR="00E8620D" w:rsidRPr="009D4E26">
        <w:rPr>
          <w:rFonts w:asciiTheme="minorHAnsi" w:hAnsiTheme="minorHAnsi" w:cstheme="minorHAnsi"/>
          <w:color w:val="auto"/>
          <w:sz w:val="22"/>
          <w:szCs w:val="22"/>
        </w:rPr>
        <w:t>. Dodatkowo pismo będzie zawierało pouczenie o możliwości złożenia odwołania.</w:t>
      </w:r>
    </w:p>
    <w:p w14:paraId="2C04404F" w14:textId="77777777" w:rsidR="00494452" w:rsidRPr="009D4E26" w:rsidRDefault="00494452" w:rsidP="009D4E26">
      <w:pPr>
        <w:pStyle w:val="Akapitzlist"/>
        <w:spacing w:after="0" w:line="240" w:lineRule="auto"/>
        <w:ind w:left="644"/>
        <w:jc w:val="center"/>
        <w:rPr>
          <w:rFonts w:cstheme="minorHAnsi"/>
          <w:b/>
        </w:rPr>
      </w:pPr>
    </w:p>
    <w:p w14:paraId="3A23DFD4" w14:textId="456896B3" w:rsidR="00D673EF" w:rsidRPr="007D081D" w:rsidRDefault="00294753" w:rsidP="007D081D">
      <w:pPr>
        <w:pStyle w:val="Akapitzlist"/>
        <w:spacing w:after="0" w:line="240" w:lineRule="auto"/>
        <w:ind w:left="644"/>
        <w:jc w:val="center"/>
        <w:rPr>
          <w:rFonts w:cstheme="minorHAnsi"/>
          <w:b/>
        </w:rPr>
      </w:pPr>
      <w:r w:rsidRPr="007D081D">
        <w:rPr>
          <w:rFonts w:cstheme="minorHAnsi"/>
          <w:b/>
        </w:rPr>
        <w:t>§8</w:t>
      </w:r>
      <w:r w:rsidR="007D081D" w:rsidRPr="007D081D">
        <w:rPr>
          <w:rFonts w:cstheme="minorHAnsi"/>
        </w:rPr>
        <w:t xml:space="preserve">     </w:t>
      </w:r>
    </w:p>
    <w:p w14:paraId="0D4EACA6" w14:textId="77777777" w:rsidR="00122284" w:rsidRPr="007D081D" w:rsidRDefault="00472B2B" w:rsidP="009D4E26">
      <w:pPr>
        <w:ind w:left="360"/>
        <w:jc w:val="center"/>
        <w:rPr>
          <w:rFonts w:asciiTheme="minorHAnsi" w:eastAsiaTheme="minorHAnsi" w:hAnsiTheme="minorHAnsi" w:cstheme="minorHAnsi"/>
          <w:b/>
          <w:sz w:val="22"/>
          <w:szCs w:val="22"/>
        </w:rPr>
      </w:pPr>
      <w:r w:rsidRPr="007D081D">
        <w:rPr>
          <w:rFonts w:asciiTheme="minorHAnsi" w:eastAsiaTheme="minorHAnsi" w:hAnsiTheme="minorHAnsi" w:cstheme="minorHAnsi"/>
          <w:b/>
          <w:sz w:val="22"/>
          <w:szCs w:val="22"/>
        </w:rPr>
        <w:t>Procedura odwoławcza</w:t>
      </w:r>
    </w:p>
    <w:p w14:paraId="1E420D9C" w14:textId="77777777" w:rsidR="00122284" w:rsidRPr="009D4E26" w:rsidRDefault="00122284" w:rsidP="009D4E26">
      <w:pPr>
        <w:contextualSpacing/>
        <w:rPr>
          <w:rFonts w:asciiTheme="minorHAnsi" w:eastAsiaTheme="minorHAnsi" w:hAnsiTheme="minorHAnsi" w:cstheme="minorHAnsi"/>
          <w:b/>
          <w:sz w:val="22"/>
          <w:szCs w:val="22"/>
          <w:lang w:eastAsia="en-US"/>
        </w:rPr>
      </w:pPr>
    </w:p>
    <w:p w14:paraId="6710E114" w14:textId="3DFFE6DF" w:rsidR="00EA7E9C" w:rsidRPr="009D4E26" w:rsidRDefault="00827AF4" w:rsidP="009D4E26">
      <w:pPr>
        <w:pStyle w:val="Akapitzlist"/>
        <w:numPr>
          <w:ilvl w:val="0"/>
          <w:numId w:val="1"/>
        </w:numPr>
        <w:spacing w:after="0" w:line="240" w:lineRule="auto"/>
        <w:rPr>
          <w:rFonts w:cs="Calibri"/>
        </w:rPr>
      </w:pPr>
      <w:proofErr w:type="spellStart"/>
      <w:r w:rsidRPr="009D4E26">
        <w:rPr>
          <w:rFonts w:cs="Calibri"/>
        </w:rPr>
        <w:t>Grantobiorcy</w:t>
      </w:r>
      <w:proofErr w:type="spellEnd"/>
      <w:r w:rsidR="00EA7E9C" w:rsidRPr="009D4E26">
        <w:rPr>
          <w:rFonts w:cs="Calibri"/>
        </w:rPr>
        <w:t xml:space="preserve">  przysługuje prawo wniesienia odwołania od ilości przyznanych punktów</w:t>
      </w:r>
      <w:r w:rsidR="00C564AA" w:rsidRPr="009D4E26">
        <w:rPr>
          <w:rFonts w:cs="Calibri"/>
        </w:rPr>
        <w:t xml:space="preserve"> zgodnie z lokalnymi kryteriami wyboru</w:t>
      </w:r>
      <w:r w:rsidR="00EA7E9C" w:rsidRPr="009D4E26">
        <w:rPr>
          <w:rFonts w:cs="Calibri"/>
        </w:rPr>
        <w:t xml:space="preserve"> w tym nieuzyskania przez operację minimalnej liczby punktów.</w:t>
      </w:r>
    </w:p>
    <w:p w14:paraId="0D979A14" w14:textId="64A21F19"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 xml:space="preserve">Odwołanie wnosi się w terminie od 3 do 5 dni. Data złożenia odwołania będzie wskazana w piśmie wysłanym mailowo do </w:t>
      </w:r>
      <w:proofErr w:type="spellStart"/>
      <w:r w:rsidR="00827AF4" w:rsidRPr="009D4E26">
        <w:rPr>
          <w:rFonts w:cstheme="minorHAnsi"/>
        </w:rPr>
        <w:t>grantobiorcy</w:t>
      </w:r>
      <w:proofErr w:type="spellEnd"/>
      <w:r w:rsidRPr="009D4E26">
        <w:rPr>
          <w:rFonts w:cstheme="minorHAnsi"/>
        </w:rPr>
        <w:t>.</w:t>
      </w:r>
      <w:r w:rsidR="00087BAE" w:rsidRPr="009D4E26">
        <w:rPr>
          <w:rFonts w:cstheme="minorHAnsi"/>
        </w:rPr>
        <w:t xml:space="preserve"> </w:t>
      </w:r>
    </w:p>
    <w:p w14:paraId="0BFEB4A1" w14:textId="77777777" w:rsidR="00087BAE" w:rsidRPr="009D4E26" w:rsidRDefault="00167A24" w:rsidP="009D4E26">
      <w:pPr>
        <w:pStyle w:val="Akapitzlist"/>
        <w:numPr>
          <w:ilvl w:val="0"/>
          <w:numId w:val="1"/>
        </w:numPr>
        <w:spacing w:after="0" w:line="240" w:lineRule="auto"/>
        <w:rPr>
          <w:rFonts w:cstheme="minorHAnsi"/>
          <w:b/>
        </w:rPr>
      </w:pPr>
      <w:r w:rsidRPr="009D4E26">
        <w:rPr>
          <w:rFonts w:cstheme="minorHAnsi"/>
        </w:rPr>
        <w:t>Odwołanie wnoszone</w:t>
      </w:r>
      <w:r w:rsidR="00087BAE" w:rsidRPr="009D4E26">
        <w:rPr>
          <w:rFonts w:cstheme="minorHAnsi"/>
        </w:rPr>
        <w:t xml:space="preserve"> jest w formie pisemnej </w:t>
      </w:r>
      <w:r w:rsidRPr="009D4E26">
        <w:rPr>
          <w:rFonts w:cstheme="minorHAnsi"/>
        </w:rPr>
        <w:t>złożone</w:t>
      </w:r>
      <w:r w:rsidR="00EA7E9C" w:rsidRPr="009D4E26">
        <w:rPr>
          <w:rFonts w:cstheme="minorHAnsi"/>
        </w:rPr>
        <w:t xml:space="preserve"> osobiście w biurze LGD w wyznaczonym terminie o którym mowa w pkt 2.</w:t>
      </w:r>
    </w:p>
    <w:p w14:paraId="45644347" w14:textId="77777777"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Odwołanie podlega ponownemu</w:t>
      </w:r>
      <w:r w:rsidR="00087BAE" w:rsidRPr="009D4E26">
        <w:rPr>
          <w:rFonts w:cstheme="minorHAnsi"/>
        </w:rPr>
        <w:t xml:space="preserve"> rozpatrzeniu przez Radę</w:t>
      </w:r>
      <w:r w:rsidRPr="009D4E26">
        <w:rPr>
          <w:rFonts w:cstheme="minorHAnsi"/>
        </w:rPr>
        <w:t xml:space="preserve"> </w:t>
      </w:r>
      <w:r w:rsidR="00087BAE" w:rsidRPr="009D4E26">
        <w:rPr>
          <w:rFonts w:cstheme="minorHAnsi"/>
        </w:rPr>
        <w:t>wniosku o powierzenie grantu</w:t>
      </w:r>
      <w:r w:rsidRPr="009D4E26">
        <w:rPr>
          <w:rFonts w:cstheme="minorHAnsi"/>
        </w:rPr>
        <w:t>.</w:t>
      </w:r>
    </w:p>
    <w:p w14:paraId="3275DCE0" w14:textId="77777777" w:rsidR="00C564AA" w:rsidRPr="009D4E26" w:rsidRDefault="00C564AA" w:rsidP="009D4E26">
      <w:pPr>
        <w:pStyle w:val="Akapitzlist"/>
        <w:numPr>
          <w:ilvl w:val="0"/>
          <w:numId w:val="1"/>
        </w:numPr>
        <w:spacing w:after="0" w:line="240" w:lineRule="auto"/>
        <w:rPr>
          <w:rFonts w:cstheme="minorHAnsi"/>
          <w:b/>
        </w:rPr>
      </w:pPr>
      <w:r w:rsidRPr="009D4E26">
        <w:rPr>
          <w:rFonts w:cstheme="minorHAnsi"/>
        </w:rPr>
        <w:t>Odwołanie jest wnoszone w formie pisemnej i zawiera w szczególności:</w:t>
      </w:r>
    </w:p>
    <w:p w14:paraId="6EA74E4C"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nazwę LGD Kwiat Lnu,</w:t>
      </w:r>
    </w:p>
    <w:p w14:paraId="23739A0B" w14:textId="45CDE196"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dane </w:t>
      </w:r>
      <w:proofErr w:type="spellStart"/>
      <w:r w:rsidR="00827AF4" w:rsidRPr="009D4E26">
        <w:rPr>
          <w:rFonts w:cstheme="minorHAnsi"/>
        </w:rPr>
        <w:t>grantobiorcy</w:t>
      </w:r>
      <w:proofErr w:type="spellEnd"/>
      <w:r w:rsidRPr="009D4E26">
        <w:rPr>
          <w:rFonts w:cstheme="minorHAnsi"/>
        </w:rPr>
        <w:t>,</w:t>
      </w:r>
    </w:p>
    <w:p w14:paraId="24E96925"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numer wniosku,</w:t>
      </w:r>
    </w:p>
    <w:p w14:paraId="29737F6B" w14:textId="23514A83"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wskazanie w jakim zakresie </w:t>
      </w:r>
      <w:r w:rsidR="00F96BDC" w:rsidRPr="009D4E26">
        <w:rPr>
          <w:rFonts w:cstheme="minorHAnsi"/>
        </w:rPr>
        <w:t>grantobiorca</w:t>
      </w:r>
      <w:r w:rsidRPr="009D4E26">
        <w:rPr>
          <w:rFonts w:cstheme="minorHAnsi"/>
        </w:rPr>
        <w:t xml:space="preserve"> nie zgadza się z oceną punktową wniosku wraz z uzasadnieniem.  </w:t>
      </w:r>
    </w:p>
    <w:p w14:paraId="4EEBF094" w14:textId="15410A39" w:rsidR="00B60C75"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podpis </w:t>
      </w:r>
      <w:proofErr w:type="spellStart"/>
      <w:r w:rsidR="00827AF4" w:rsidRPr="009D4E26">
        <w:rPr>
          <w:rFonts w:cstheme="minorHAnsi"/>
        </w:rPr>
        <w:t>Grantobiorcy</w:t>
      </w:r>
      <w:proofErr w:type="spellEnd"/>
      <w:r w:rsidRPr="009D4E26">
        <w:rPr>
          <w:rFonts w:cstheme="minorHAnsi"/>
        </w:rPr>
        <w:t xml:space="preserve"> lub osoby upoważnionej do jego reprezentowania z załączeniem oryginału lub kopii dokumentu poświadczającego umocowanie takiej osoby do reprezentowania </w:t>
      </w:r>
      <w:proofErr w:type="spellStart"/>
      <w:r w:rsidR="00827AF4" w:rsidRPr="009D4E26">
        <w:rPr>
          <w:rFonts w:cstheme="minorHAnsi"/>
        </w:rPr>
        <w:t>Grantobiorcy</w:t>
      </w:r>
      <w:proofErr w:type="spellEnd"/>
      <w:r w:rsidRPr="009D4E26">
        <w:rPr>
          <w:rFonts w:cstheme="minorHAnsi"/>
        </w:rPr>
        <w:t>.</w:t>
      </w:r>
    </w:p>
    <w:p w14:paraId="4C794D42" w14:textId="77777777" w:rsidR="00B60C75" w:rsidRPr="009D4E26" w:rsidRDefault="00C564AA"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t xml:space="preserve">6. </w:t>
      </w:r>
      <w:r w:rsidR="00B60C75" w:rsidRPr="009D4E26">
        <w:rPr>
          <w:rFonts w:asciiTheme="minorHAnsi" w:hAnsiTheme="minorHAnsi" w:cstheme="minorHAnsi"/>
          <w:sz w:val="22"/>
          <w:szCs w:val="22"/>
        </w:rPr>
        <w:t xml:space="preserve"> Do odwołania nie można załączyć dodatkowych dokumentów, które nie zostały złożone wraz z wnioskiem o powierzenie grantu.</w:t>
      </w:r>
    </w:p>
    <w:p w14:paraId="6495C19A" w14:textId="77777777" w:rsidR="00087BAE" w:rsidRPr="009D4E26" w:rsidRDefault="00B60C75"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lastRenderedPageBreak/>
        <w:t xml:space="preserve">7.  </w:t>
      </w:r>
      <w:r w:rsidR="00087BAE" w:rsidRPr="009D4E26">
        <w:rPr>
          <w:rFonts w:asciiTheme="minorHAnsi" w:hAnsiTheme="minorHAnsi" w:cstheme="minorHAnsi"/>
          <w:sz w:val="22"/>
          <w:szCs w:val="22"/>
        </w:rPr>
        <w:t>Odwołanie pozostaje bez rozpatrzenia w przypadku, gdy:</w:t>
      </w:r>
    </w:p>
    <w:p w14:paraId="60312EF9" w14:textId="77777777" w:rsidR="00087BAE" w:rsidRPr="009D4E26" w:rsidRDefault="00087BAE" w:rsidP="009D4E26">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po upływie wskazanego terminu,</w:t>
      </w:r>
    </w:p>
    <w:p w14:paraId="59E3F43A" w14:textId="77777777" w:rsidR="00087BAE" w:rsidRPr="009D4E26" w:rsidRDefault="00087BAE" w:rsidP="009D4E26">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przez nieuprawniony podmiot, tzn. nie będący grantobiorcą, którego wniosek o powierzenie grantu  podlegał ocenie,</w:t>
      </w:r>
    </w:p>
    <w:p w14:paraId="191D32E2" w14:textId="3887E5D6" w:rsidR="00087BAE" w:rsidRPr="009D4E26" w:rsidRDefault="00C564AA" w:rsidP="009D4E26">
      <w:pPr>
        <w:pStyle w:val="Akapitzlist"/>
        <w:numPr>
          <w:ilvl w:val="1"/>
          <w:numId w:val="1"/>
        </w:numPr>
        <w:spacing w:after="0" w:line="240" w:lineRule="auto"/>
        <w:ind w:left="1080"/>
        <w:jc w:val="both"/>
        <w:rPr>
          <w:rFonts w:cstheme="minorHAnsi"/>
        </w:rPr>
      </w:pPr>
      <w:r w:rsidRPr="009D4E26">
        <w:rPr>
          <w:rFonts w:cstheme="minorHAnsi"/>
        </w:rPr>
        <w:t>nie zawiera</w:t>
      </w:r>
      <w:r w:rsidR="00087BAE" w:rsidRPr="009D4E26">
        <w:rPr>
          <w:rFonts w:cstheme="minorHAnsi"/>
        </w:rPr>
        <w:t xml:space="preserve"> pisemnego </w:t>
      </w:r>
      <w:r w:rsidRPr="009D4E26">
        <w:rPr>
          <w:rFonts w:cstheme="minorHAnsi"/>
        </w:rPr>
        <w:t xml:space="preserve">wskazania w jakim zakresie </w:t>
      </w:r>
      <w:r w:rsidR="00F96BDC" w:rsidRPr="009D4E26">
        <w:rPr>
          <w:rFonts w:cstheme="minorHAnsi"/>
        </w:rPr>
        <w:t>grantobiorca</w:t>
      </w:r>
      <w:r w:rsidRPr="009D4E26">
        <w:rPr>
          <w:rFonts w:cstheme="minorHAnsi"/>
        </w:rPr>
        <w:t xml:space="preserve"> nie zgadza się z oceną punktową wniosku wraz z uzasadnieniem.  </w:t>
      </w:r>
    </w:p>
    <w:p w14:paraId="1035CB77" w14:textId="77777777" w:rsidR="00087BAE" w:rsidRPr="009D4E26" w:rsidRDefault="00B60C75" w:rsidP="009D4E26">
      <w:pPr>
        <w:pStyle w:val="Akapitzlist"/>
        <w:numPr>
          <w:ilvl w:val="0"/>
          <w:numId w:val="24"/>
        </w:numPr>
        <w:spacing w:after="0" w:line="240" w:lineRule="auto"/>
        <w:jc w:val="both"/>
        <w:rPr>
          <w:rFonts w:cstheme="minorHAnsi"/>
        </w:rPr>
      </w:pPr>
      <w:r w:rsidRPr="009D4E26">
        <w:rPr>
          <w:rFonts w:cstheme="minorHAnsi"/>
        </w:rPr>
        <w:t>Na posiedzeniu odwoławczym</w:t>
      </w:r>
      <w:r w:rsidR="00087BAE" w:rsidRPr="009D4E26">
        <w:rPr>
          <w:rFonts w:cstheme="minorHAnsi"/>
        </w:rPr>
        <w:t xml:space="preserve">  członkowie Rady rozpatrują wniosek na podstawie kryteriów obowiązujących w danym konkursie i tylko w tych elementach, których dotyczy uzasadnienie podane przez grantobiorcę.</w:t>
      </w:r>
    </w:p>
    <w:p w14:paraId="7ACB5304" w14:textId="77777777" w:rsidR="00087BAE" w:rsidRPr="009D4E26" w:rsidRDefault="00087BAE" w:rsidP="009D4E26">
      <w:pPr>
        <w:pStyle w:val="Akapitzlist"/>
        <w:numPr>
          <w:ilvl w:val="0"/>
          <w:numId w:val="24"/>
        </w:numPr>
        <w:spacing w:after="0" w:line="240" w:lineRule="auto"/>
        <w:jc w:val="both"/>
        <w:rPr>
          <w:rFonts w:cstheme="minorHAnsi"/>
        </w:rPr>
      </w:pPr>
      <w:r w:rsidRPr="009D4E26">
        <w:rPr>
          <w:rFonts w:cstheme="minorHAnsi"/>
        </w:rPr>
        <w:t>Wniosek o powierzenie gran</w:t>
      </w:r>
      <w:r w:rsidR="00B60C75" w:rsidRPr="009D4E26">
        <w:rPr>
          <w:rFonts w:cstheme="minorHAnsi"/>
        </w:rPr>
        <w:t xml:space="preserve">tu </w:t>
      </w:r>
      <w:r w:rsidRPr="009D4E26">
        <w:rPr>
          <w:rFonts w:cstheme="minorHAnsi"/>
        </w:rPr>
        <w:t>, który w wyniku ponownego rozpatrzenia uzyskał liczbę punktów kwalifikujących go do objęcia wsparciem w danym naborze, zyskuje prawo dofinansowania. Ten fakt może spowodować skreślenie z listy operacji o mniejszej liczbie punktów.</w:t>
      </w:r>
    </w:p>
    <w:p w14:paraId="653CC8E5" w14:textId="77777777" w:rsidR="00B60C75" w:rsidRPr="009D4E26" w:rsidRDefault="00B60C75" w:rsidP="009D4E26">
      <w:pPr>
        <w:pStyle w:val="Akapitzlist"/>
        <w:numPr>
          <w:ilvl w:val="0"/>
          <w:numId w:val="24"/>
        </w:numPr>
        <w:spacing w:after="0" w:line="240" w:lineRule="auto"/>
        <w:jc w:val="both"/>
        <w:rPr>
          <w:rFonts w:cstheme="minorHAnsi"/>
        </w:rPr>
      </w:pPr>
      <w:r w:rsidRPr="009D4E26">
        <w:rPr>
          <w:rFonts w:cstheme="minorHAnsi"/>
        </w:rPr>
        <w:t>Ponowna decyzja Rady jest ostateczna i nie przysługuje od niej odwołanie.</w:t>
      </w:r>
    </w:p>
    <w:p w14:paraId="67F3F08D" w14:textId="1D76B035" w:rsidR="003467E9"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Po zakończeniu procedury odwoławczej </w:t>
      </w:r>
      <w:proofErr w:type="spellStart"/>
      <w:r w:rsidR="00827AF4" w:rsidRPr="009D4E26">
        <w:rPr>
          <w:rFonts w:cstheme="minorHAnsi"/>
        </w:rPr>
        <w:t>grantobiorcy</w:t>
      </w:r>
      <w:proofErr w:type="spellEnd"/>
      <w:r w:rsidRPr="009D4E26">
        <w:rPr>
          <w:rFonts w:cstheme="minorHAnsi"/>
        </w:rPr>
        <w:t xml:space="preserve"> zostaną pisemnie poinformowani o wynikach oceny złożonych wniosków</w:t>
      </w:r>
      <w:r w:rsidR="007E5185" w:rsidRPr="009D4E26">
        <w:rPr>
          <w:rFonts w:cstheme="minorHAnsi"/>
        </w:rPr>
        <w:t>.</w:t>
      </w:r>
    </w:p>
    <w:p w14:paraId="4A691F13" w14:textId="4270A15E" w:rsidR="007E5185"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Lista rankingowa oraz rezerwowa lista rankingowa zostanie zamieszczona na stronie internetowej </w:t>
      </w:r>
      <w:hyperlink r:id="rId15" w:history="1">
        <w:r w:rsidR="003467E9" w:rsidRPr="009D4E26">
          <w:rPr>
            <w:rStyle w:val="Hipercze"/>
            <w:rFonts w:cstheme="minorHAnsi"/>
            <w:color w:val="auto"/>
          </w:rPr>
          <w:t>www.kwiatlnu.eu</w:t>
        </w:r>
      </w:hyperlink>
      <w:r w:rsidR="00294753" w:rsidRPr="009D4E26">
        <w:rPr>
          <w:rFonts w:cstheme="minorHAnsi"/>
        </w:rPr>
        <w:t>.</w:t>
      </w:r>
    </w:p>
    <w:p w14:paraId="7DB023DD" w14:textId="77777777" w:rsidR="005A5B65" w:rsidRPr="009D4E26" w:rsidRDefault="005A5B65" w:rsidP="009D4E26">
      <w:pPr>
        <w:ind w:left="360"/>
        <w:jc w:val="center"/>
        <w:rPr>
          <w:rFonts w:asciiTheme="minorHAnsi" w:hAnsiTheme="minorHAnsi" w:cstheme="minorHAnsi"/>
          <w:b/>
          <w:color w:val="FF0000"/>
          <w:sz w:val="22"/>
          <w:szCs w:val="22"/>
        </w:rPr>
      </w:pPr>
      <w:bookmarkStart w:id="1" w:name="_Toc226881900"/>
    </w:p>
    <w:p w14:paraId="7124BD3B" w14:textId="372A1CF0" w:rsidR="007D081D" w:rsidRPr="007D081D" w:rsidRDefault="00294753" w:rsidP="007D081D">
      <w:pPr>
        <w:ind w:left="360"/>
        <w:jc w:val="center"/>
        <w:rPr>
          <w:rFonts w:asciiTheme="minorHAnsi" w:hAnsiTheme="minorHAnsi" w:cstheme="minorHAnsi"/>
          <w:b/>
          <w:sz w:val="22"/>
          <w:szCs w:val="22"/>
        </w:rPr>
      </w:pPr>
      <w:r w:rsidRPr="007D081D">
        <w:rPr>
          <w:rFonts w:asciiTheme="minorHAnsi" w:hAnsiTheme="minorHAnsi" w:cstheme="minorHAnsi"/>
          <w:b/>
          <w:sz w:val="22"/>
          <w:szCs w:val="22"/>
        </w:rPr>
        <w:t>§ 9</w:t>
      </w:r>
    </w:p>
    <w:p w14:paraId="0DE32C8D" w14:textId="3CE8830F" w:rsidR="00125CBC" w:rsidRPr="009D4E26" w:rsidRDefault="00125CBC" w:rsidP="009D4E26">
      <w:pPr>
        <w:ind w:left="360"/>
        <w:jc w:val="center"/>
        <w:rPr>
          <w:rFonts w:asciiTheme="minorHAnsi" w:hAnsiTheme="minorHAnsi" w:cstheme="minorHAnsi"/>
          <w:b/>
          <w:sz w:val="22"/>
          <w:szCs w:val="22"/>
        </w:rPr>
      </w:pPr>
      <w:r w:rsidRPr="009D4E26">
        <w:rPr>
          <w:rFonts w:asciiTheme="minorHAnsi" w:hAnsiTheme="minorHAnsi" w:cstheme="minorHAnsi"/>
          <w:b/>
          <w:sz w:val="22"/>
          <w:szCs w:val="22"/>
        </w:rPr>
        <w:t>Nabór uzupełniający</w:t>
      </w:r>
    </w:p>
    <w:p w14:paraId="5F30E0E2" w14:textId="77777777" w:rsidR="00125CBC" w:rsidRPr="009D4E26" w:rsidRDefault="00125CBC" w:rsidP="009D4E26">
      <w:pPr>
        <w:rPr>
          <w:rFonts w:asciiTheme="minorHAnsi" w:hAnsiTheme="minorHAnsi" w:cstheme="minorHAnsi"/>
          <w:b/>
          <w:sz w:val="22"/>
          <w:szCs w:val="22"/>
        </w:rPr>
      </w:pPr>
    </w:p>
    <w:p w14:paraId="2D425C69" w14:textId="4E364523" w:rsidR="005A5B65" w:rsidRPr="009D4E26" w:rsidRDefault="00125CBC" w:rsidP="009D4E26">
      <w:pPr>
        <w:pStyle w:val="Akapitzlist"/>
        <w:spacing w:after="0" w:line="240" w:lineRule="auto"/>
        <w:ind w:left="709"/>
        <w:rPr>
          <w:rFonts w:cstheme="minorHAnsi"/>
        </w:rPr>
      </w:pPr>
      <w:r w:rsidRPr="009D4E26">
        <w:rPr>
          <w:rFonts w:cstheme="minorHAnsi"/>
        </w:rPr>
        <w:t>W przypadku ogłoszenia przez LGD na</w:t>
      </w:r>
      <w:r w:rsidR="005A5B65" w:rsidRPr="009D4E26">
        <w:rPr>
          <w:rFonts w:cstheme="minorHAnsi"/>
        </w:rPr>
        <w:t>boru wniosków   i nie złożenia</w:t>
      </w:r>
      <w:r w:rsidRPr="009D4E26">
        <w:rPr>
          <w:rFonts w:cstheme="minorHAnsi"/>
        </w:rPr>
        <w:t xml:space="preserve"> odpowiedniej ilości wniosków o powierzenie grantu na realizację zadań służących osiągnięciu celu Projektu Grantowego, co spowoduje nie osiągnięcie przez LGD celów zaplanowanych do realizacji Projektu Grantowego  oraz wskaźników jego realizacji, LGD może po uzgodnieniu z Samorządem Województwa Dolnośląskiego ogłosić ponowny – uzupełniający nabór wniosków o powierzenie grantów w celu wyboru dostatecznej ilości Grantobiorców dla zapewnienia celu Projektów Grantowego i wskaźników jego realizacji. W tym przypadku procedury naboru, o których mowa w regulaminie naboru wniosków </w:t>
      </w:r>
      <w:r w:rsidR="005A5B65" w:rsidRPr="009D4E26">
        <w:rPr>
          <w:rFonts w:cstheme="minorHAnsi"/>
        </w:rPr>
        <w:t xml:space="preserve"> stosuje się odpowiednio lub</w:t>
      </w:r>
    </w:p>
    <w:p w14:paraId="5D32E8CC" w14:textId="77777777" w:rsidR="00E14A22" w:rsidRPr="009D4E26" w:rsidRDefault="00E14A22" w:rsidP="009D4E26">
      <w:pPr>
        <w:rPr>
          <w:rFonts w:asciiTheme="minorHAnsi" w:hAnsiTheme="minorHAnsi" w:cstheme="minorHAnsi"/>
          <w:sz w:val="22"/>
          <w:szCs w:val="22"/>
        </w:rPr>
      </w:pPr>
    </w:p>
    <w:p w14:paraId="0435398C" w14:textId="77777777" w:rsidR="00294753" w:rsidRPr="009D4E26" w:rsidRDefault="00294753" w:rsidP="009D4E26">
      <w:pPr>
        <w:ind w:left="360"/>
        <w:jc w:val="center"/>
        <w:rPr>
          <w:rFonts w:asciiTheme="minorHAnsi" w:hAnsiTheme="minorHAnsi" w:cstheme="minorHAnsi"/>
          <w:b/>
          <w:sz w:val="22"/>
          <w:szCs w:val="22"/>
        </w:rPr>
      </w:pPr>
    </w:p>
    <w:p w14:paraId="4A6A7559" w14:textId="65A4F921" w:rsidR="007D081D" w:rsidRPr="007D081D" w:rsidRDefault="00294753" w:rsidP="007D081D">
      <w:pPr>
        <w:ind w:left="357"/>
        <w:jc w:val="center"/>
        <w:rPr>
          <w:rFonts w:asciiTheme="minorHAnsi" w:hAnsiTheme="minorHAnsi" w:cstheme="minorHAnsi"/>
          <w:b/>
          <w:sz w:val="22"/>
          <w:szCs w:val="22"/>
        </w:rPr>
      </w:pPr>
      <w:r w:rsidRPr="007D081D">
        <w:rPr>
          <w:rFonts w:asciiTheme="minorHAnsi" w:hAnsiTheme="minorHAnsi" w:cstheme="minorHAnsi"/>
          <w:b/>
          <w:sz w:val="22"/>
          <w:szCs w:val="22"/>
        </w:rPr>
        <w:t>§ 10</w:t>
      </w:r>
    </w:p>
    <w:p w14:paraId="64C9CEC8" w14:textId="2EF445D8" w:rsidR="005A5B65" w:rsidRPr="009D4E26" w:rsidRDefault="00577188" w:rsidP="009D4E26">
      <w:pPr>
        <w:ind w:left="357"/>
        <w:jc w:val="center"/>
        <w:rPr>
          <w:rFonts w:asciiTheme="minorHAnsi" w:hAnsiTheme="minorHAnsi" w:cstheme="minorHAnsi"/>
          <w:b/>
          <w:sz w:val="22"/>
          <w:szCs w:val="22"/>
        </w:rPr>
      </w:pPr>
      <w:r>
        <w:rPr>
          <w:rFonts w:asciiTheme="minorHAnsi" w:hAnsiTheme="minorHAnsi" w:cstheme="minorHAnsi"/>
          <w:b/>
          <w:sz w:val="22"/>
          <w:szCs w:val="22"/>
        </w:rPr>
        <w:t>O</w:t>
      </w:r>
      <w:bookmarkStart w:id="2" w:name="_GoBack"/>
      <w:bookmarkEnd w:id="2"/>
      <w:r w:rsidR="005A5B65" w:rsidRPr="009D4E26">
        <w:rPr>
          <w:rFonts w:asciiTheme="minorHAnsi" w:hAnsiTheme="minorHAnsi" w:cstheme="minorHAnsi"/>
          <w:b/>
          <w:sz w:val="22"/>
          <w:szCs w:val="22"/>
        </w:rPr>
        <w:t>dstąpienie od konkursu</w:t>
      </w:r>
    </w:p>
    <w:p w14:paraId="4ABF4D68" w14:textId="77777777" w:rsidR="00E14A22" w:rsidRPr="009D4E26" w:rsidRDefault="00E14A22" w:rsidP="009D4E26">
      <w:pPr>
        <w:ind w:left="360"/>
        <w:jc w:val="center"/>
        <w:rPr>
          <w:rFonts w:asciiTheme="minorHAnsi" w:hAnsiTheme="minorHAnsi" w:cstheme="minorHAnsi"/>
          <w:b/>
          <w:color w:val="FF0000"/>
          <w:sz w:val="22"/>
          <w:szCs w:val="22"/>
        </w:rPr>
      </w:pPr>
    </w:p>
    <w:p w14:paraId="5451C15E" w14:textId="77777777" w:rsidR="005A5B65" w:rsidRPr="009D4E26" w:rsidRDefault="005A5B65" w:rsidP="009D4E26">
      <w:pPr>
        <w:pStyle w:val="Akapitzlist"/>
        <w:spacing w:after="0" w:line="240" w:lineRule="auto"/>
        <w:ind w:left="709"/>
        <w:rPr>
          <w:rFonts w:cstheme="minorHAnsi"/>
          <w:color w:val="FF0000"/>
        </w:rPr>
      </w:pPr>
      <w:r w:rsidRPr="009D4E26">
        <w:t>LGD może odstąpić od konkursu o wybór wniosków o powierzenie grantów w sytuacji braku możliwości osiągnięcia celów projektu grantowego i wskaźników jego realizacji na podstawie złożonych / wybranych wniosków o powierzenie grantu lub na skutek rezygnacji przez grantobiorców z realizacji zadań lub rozwiązania umów o powierzenie grantów.</w:t>
      </w:r>
    </w:p>
    <w:p w14:paraId="28097C67" w14:textId="77777777" w:rsidR="00167A24" w:rsidRPr="009D4E26" w:rsidRDefault="00167A24" w:rsidP="009D4E26">
      <w:pPr>
        <w:jc w:val="both"/>
        <w:rPr>
          <w:rFonts w:asciiTheme="minorHAnsi" w:hAnsiTheme="minorHAnsi" w:cstheme="minorHAnsi"/>
        </w:rPr>
      </w:pPr>
    </w:p>
    <w:p w14:paraId="442F917C" w14:textId="77777777" w:rsidR="00294753" w:rsidRPr="009D4E26" w:rsidRDefault="00294753" w:rsidP="009D4E26">
      <w:pPr>
        <w:jc w:val="both"/>
        <w:rPr>
          <w:rFonts w:asciiTheme="minorHAnsi" w:hAnsiTheme="minorHAnsi" w:cstheme="minorHAnsi"/>
        </w:rPr>
      </w:pPr>
    </w:p>
    <w:p w14:paraId="0EF64B4B" w14:textId="77777777" w:rsidR="00087BAE"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Słowniczek:</w:t>
      </w:r>
    </w:p>
    <w:p w14:paraId="19B347DA" w14:textId="77777777" w:rsidR="00FD7CA6"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Użyte w niniejszym dokumencie terminy oznaczają:</w:t>
      </w:r>
    </w:p>
    <w:p w14:paraId="0DD8343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LGD </w:t>
      </w:r>
      <w:r w:rsidRPr="009D4E26">
        <w:rPr>
          <w:rFonts w:asciiTheme="minorHAnsi" w:hAnsiTheme="minorHAnsi" w:cstheme="minorHAnsi"/>
          <w:sz w:val="22"/>
          <w:szCs w:val="22"/>
        </w:rPr>
        <w:t xml:space="preserve">– Stowarzyszenie LGD Kwiat Lnu; </w:t>
      </w:r>
    </w:p>
    <w:p w14:paraId="3A58CAEC"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Zarząd</w:t>
      </w:r>
      <w:r w:rsidRPr="009D4E26">
        <w:rPr>
          <w:rFonts w:asciiTheme="minorHAnsi" w:hAnsiTheme="minorHAnsi" w:cstheme="minorHAnsi"/>
          <w:sz w:val="22"/>
          <w:szCs w:val="22"/>
        </w:rPr>
        <w:t xml:space="preserve"> – Zarząd Stowarzyszenia LGD Kwiat Lnu;</w:t>
      </w:r>
    </w:p>
    <w:p w14:paraId="7B6D9380"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Rada</w:t>
      </w:r>
      <w:r w:rsidRPr="009D4E26">
        <w:rPr>
          <w:rFonts w:asciiTheme="minorHAnsi" w:hAnsiTheme="minorHAnsi" w:cstheme="minorHAnsi"/>
          <w:sz w:val="22"/>
          <w:szCs w:val="22"/>
        </w:rPr>
        <w:t xml:space="preserve"> – Rada Stowarzyszenia LGD Kwiat Lnu.;</w:t>
      </w:r>
    </w:p>
    <w:p w14:paraId="35C0988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Biuro</w:t>
      </w:r>
      <w:r w:rsidRPr="009D4E26">
        <w:rPr>
          <w:rFonts w:asciiTheme="minorHAnsi" w:hAnsiTheme="minorHAnsi" w:cstheme="minorHAnsi"/>
          <w:sz w:val="22"/>
          <w:szCs w:val="22"/>
        </w:rPr>
        <w:t xml:space="preserve"> – Biuro Stowarzyszenia LGD Kwiat Lnu;</w:t>
      </w:r>
    </w:p>
    <w:p w14:paraId="38A92739"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LSR </w:t>
      </w:r>
      <w:r w:rsidRPr="009D4E26">
        <w:rPr>
          <w:rFonts w:asciiTheme="minorHAnsi" w:hAnsiTheme="minorHAnsi" w:cstheme="minorHAnsi"/>
          <w:sz w:val="22"/>
          <w:szCs w:val="22"/>
        </w:rPr>
        <w:t>– Lokalna Strategia Rozwoju opracowana przez LGD i realizowana na podstawie umowy ramowej zawartej z Zarządem Województwa Dolnośląskiego;</w:t>
      </w:r>
    </w:p>
    <w:p w14:paraId="4C5292EB"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rozporządzenie o wdrażaniu LSR </w:t>
      </w:r>
      <w:r w:rsidRPr="009D4E26">
        <w:rPr>
          <w:rFonts w:asciiTheme="minorHAnsi" w:hAnsiTheme="minorHAnsi" w:cstheme="minorHAnsi"/>
          <w:sz w:val="22"/>
          <w:szCs w:val="22"/>
        </w:rPr>
        <w:t>-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16DB19B7"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zarząd województwa </w:t>
      </w:r>
      <w:r w:rsidRPr="009D4E26">
        <w:rPr>
          <w:rFonts w:asciiTheme="minorHAnsi" w:hAnsiTheme="minorHAnsi" w:cstheme="minorHAnsi"/>
          <w:sz w:val="22"/>
          <w:szCs w:val="22"/>
        </w:rPr>
        <w:t xml:space="preserve">– Zarząd Województwa Dolnośląskiego, będący organem reprezentującym podmiot wdrażający właściwy do przyznawania pomocy w ramach działania „Wsparcie dla </w:t>
      </w:r>
      <w:r w:rsidRPr="009D4E26">
        <w:rPr>
          <w:rFonts w:asciiTheme="minorHAnsi" w:hAnsiTheme="minorHAnsi" w:cstheme="minorHAnsi"/>
          <w:sz w:val="22"/>
          <w:szCs w:val="22"/>
        </w:rPr>
        <w:lastRenderedPageBreak/>
        <w:t>rozwoju lokalnego w ramach inicjatywy LEADER" objętego programem współfinansowanym ze środków Europejskiego Funduszu Rolnego na rzecz Rozwoju Obszarów Wiejskich, zgodnie z art. 2 ust. 2 lit. b ustawy o RLKS;</w:t>
      </w:r>
    </w:p>
    <w:p w14:paraId="6E763ADF"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projekt grantowy – </w:t>
      </w:r>
      <w:r w:rsidRPr="009D4E26">
        <w:rPr>
          <w:rFonts w:asciiTheme="minorHAnsi" w:hAnsiTheme="minorHAnsi" w:cstheme="minorHAnsi"/>
          <w:sz w:val="22"/>
          <w:szCs w:val="22"/>
        </w:rPr>
        <w:t xml:space="preserve">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powierzenie grantu, udziela grantów wybranym przez siebie </w:t>
      </w:r>
      <w:proofErr w:type="spellStart"/>
      <w:r w:rsidRPr="009D4E26">
        <w:rPr>
          <w:rFonts w:asciiTheme="minorHAnsi" w:hAnsiTheme="minorHAnsi" w:cstheme="minorHAnsi"/>
          <w:sz w:val="22"/>
          <w:szCs w:val="22"/>
        </w:rPr>
        <w:t>grantobiorcom</w:t>
      </w:r>
      <w:proofErr w:type="spellEnd"/>
      <w:r w:rsidRPr="009D4E26">
        <w:rPr>
          <w:rFonts w:asciiTheme="minorHAnsi" w:hAnsiTheme="minorHAnsi" w:cstheme="minorHAnsi"/>
          <w:sz w:val="22"/>
          <w:szCs w:val="22"/>
        </w:rPr>
        <w:t xml:space="preserve"> podpisując z nimi umowy o powierzeniu grantu, a następnie monitoruje ich wykonanie oraz dokonuje innych czynności mających na celu rozliczenie projektu grantowego wobec zarządu województwa;</w:t>
      </w:r>
    </w:p>
    <w:p w14:paraId="48BD8275"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grantobiorca</w:t>
      </w:r>
      <w:r w:rsidRPr="009D4E26">
        <w:rPr>
          <w:rFonts w:asciiTheme="minorHAnsi" w:hAnsiTheme="minorHAnsi" w:cstheme="minorHAnsi"/>
          <w:sz w:val="22"/>
          <w:szCs w:val="22"/>
        </w:rPr>
        <w:t xml:space="preserve"> – podmiot, z którym LGD zawarła umowę o powierzenie grantu w związku z realizacją projektu grantowego;</w:t>
      </w:r>
    </w:p>
    <w:p w14:paraId="2942AFAD"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grant</w:t>
      </w:r>
      <w:r w:rsidRPr="009D4E26">
        <w:rPr>
          <w:rFonts w:asciiTheme="minorHAnsi" w:hAnsiTheme="minorHAnsi" w:cstheme="minorHAnsi"/>
          <w:sz w:val="22"/>
          <w:szCs w:val="22"/>
        </w:rPr>
        <w:t xml:space="preserve"> - środki finansowe powierzone przez LGD grantobiorcy na realizację zadania służącego osiągnięciu celu projektu grantowego;</w:t>
      </w:r>
    </w:p>
    <w:p w14:paraId="7E5A4C45"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zadanie – </w:t>
      </w:r>
      <w:r w:rsidRPr="009D4E26">
        <w:rPr>
          <w:rFonts w:asciiTheme="minorHAnsi" w:hAnsiTheme="minorHAnsi" w:cstheme="minorHAnsi"/>
          <w:sz w:val="22"/>
          <w:szCs w:val="22"/>
        </w:rPr>
        <w:t>czynności opisane we wniosku o przyznanie grantu, realizowane przez grantobiorcę w ramach projektu grantowego i na podstawie umowy o powierzeniu grantu zawartej z LGD;</w:t>
      </w:r>
    </w:p>
    <w:p w14:paraId="692CFDC2" w14:textId="77777777" w:rsidR="00494452"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nabór – </w:t>
      </w:r>
      <w:r w:rsidRPr="009D4E26">
        <w:rPr>
          <w:rFonts w:asciiTheme="minorHAnsi" w:hAnsiTheme="minorHAnsi" w:cstheme="minorHAnsi"/>
          <w:sz w:val="22"/>
          <w:szCs w:val="22"/>
        </w:rPr>
        <w:t>przeprowadzany przez LGD</w:t>
      </w:r>
      <w:r w:rsidRPr="009D4E26">
        <w:rPr>
          <w:rFonts w:asciiTheme="minorHAnsi" w:hAnsiTheme="minorHAnsi" w:cstheme="minorHAnsi"/>
          <w:b/>
          <w:sz w:val="22"/>
          <w:szCs w:val="22"/>
        </w:rPr>
        <w:t xml:space="preserve"> </w:t>
      </w:r>
      <w:r w:rsidRPr="009D4E26">
        <w:rPr>
          <w:rFonts w:asciiTheme="minorHAnsi" w:hAnsiTheme="minorHAnsi" w:cstheme="minorHAnsi"/>
          <w:sz w:val="22"/>
          <w:szCs w:val="22"/>
        </w:rPr>
        <w:t>konkurs na wybór grantobiorców.</w:t>
      </w:r>
      <w:bookmarkEnd w:id="1"/>
    </w:p>
    <w:p w14:paraId="41B9479D" w14:textId="77777777" w:rsidR="00D942DF" w:rsidRPr="009D4E26" w:rsidRDefault="00D942DF" w:rsidP="009D4E26">
      <w:pPr>
        <w:jc w:val="both"/>
        <w:rPr>
          <w:rFonts w:asciiTheme="minorHAnsi" w:hAnsiTheme="minorHAnsi" w:cstheme="minorHAnsi"/>
          <w:b/>
        </w:rPr>
      </w:pPr>
    </w:p>
    <w:p w14:paraId="7BFD2A5F" w14:textId="77777777" w:rsidR="00494452" w:rsidRPr="009D4E26" w:rsidRDefault="00494452" w:rsidP="009D4E26">
      <w:pPr>
        <w:jc w:val="both"/>
        <w:rPr>
          <w:rFonts w:asciiTheme="minorHAnsi" w:hAnsiTheme="minorHAnsi" w:cstheme="minorHAnsi"/>
          <w:b/>
        </w:rPr>
      </w:pPr>
      <w:r w:rsidRPr="009D4E26">
        <w:rPr>
          <w:rFonts w:asciiTheme="minorHAnsi" w:hAnsiTheme="minorHAnsi" w:cstheme="minorHAnsi"/>
          <w:b/>
        </w:rPr>
        <w:t>Załączniki :</w:t>
      </w:r>
    </w:p>
    <w:p w14:paraId="3A4F84A2" w14:textId="75EB7D8B"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 xml:space="preserve">Załącznik nr 1 - </w:t>
      </w:r>
      <w:r w:rsidR="005A5B65" w:rsidRPr="009D4E26">
        <w:rPr>
          <w:rFonts w:asciiTheme="minorHAnsi" w:hAnsiTheme="minorHAnsi" w:cs="Calibri"/>
          <w:sz w:val="22"/>
          <w:szCs w:val="22"/>
          <w:lang w:eastAsia="ar-SA"/>
        </w:rPr>
        <w:t>Karta weryfikacji wstępnej wniosku o powierzenie grantu</w:t>
      </w:r>
    </w:p>
    <w:p w14:paraId="17A01A17" w14:textId="77777777"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2 - Weryfikacja zgodności operacji z warunkami przyznania pomocy określonymi w Programie Rozwoju Obszarów Wiejskich na lata 2014 - 2010</w:t>
      </w:r>
    </w:p>
    <w:p w14:paraId="741592A9" w14:textId="7A525FCA" w:rsidR="00D942DF" w:rsidRPr="009D4E26" w:rsidRDefault="00DB1992" w:rsidP="009D4E26">
      <w:pPr>
        <w:jc w:val="both"/>
        <w:rPr>
          <w:rFonts w:asciiTheme="minorHAnsi" w:hAnsiTheme="minorHAnsi" w:cs="Calibri"/>
          <w:sz w:val="22"/>
          <w:szCs w:val="22"/>
          <w:lang w:eastAsia="ar-SA"/>
        </w:rPr>
      </w:pPr>
      <w:r>
        <w:rPr>
          <w:rFonts w:asciiTheme="minorHAnsi" w:hAnsiTheme="minorHAnsi" w:cs="Calibri"/>
          <w:sz w:val="22"/>
          <w:szCs w:val="22"/>
          <w:lang w:eastAsia="ar-SA"/>
        </w:rPr>
        <w:t xml:space="preserve">Załącznik nr 3 </w:t>
      </w:r>
      <w:r w:rsidR="00B00DE5" w:rsidRPr="009D4E26">
        <w:rPr>
          <w:rFonts w:asciiTheme="minorHAnsi" w:hAnsiTheme="minorHAnsi" w:cs="Calibri"/>
          <w:strike/>
          <w:sz w:val="22"/>
          <w:szCs w:val="22"/>
          <w:lang w:eastAsia="ar-SA"/>
        </w:rPr>
        <w:t xml:space="preserve"> </w:t>
      </w:r>
      <w:r>
        <w:rPr>
          <w:rFonts w:asciiTheme="minorHAnsi" w:hAnsiTheme="minorHAnsi" w:cs="Calibri"/>
          <w:strike/>
          <w:sz w:val="22"/>
          <w:szCs w:val="22"/>
          <w:lang w:eastAsia="ar-SA"/>
        </w:rPr>
        <w:t xml:space="preserve"> </w:t>
      </w:r>
      <w:r w:rsidR="00B00DE5" w:rsidRPr="009D4E26">
        <w:rPr>
          <w:rFonts w:asciiTheme="minorHAnsi" w:hAnsiTheme="minorHAnsi" w:cs="Calibri"/>
          <w:sz w:val="22"/>
          <w:szCs w:val="22"/>
          <w:lang w:eastAsia="ar-SA"/>
        </w:rPr>
        <w:t>Karta oceny zgodności z LSR</w:t>
      </w:r>
    </w:p>
    <w:p w14:paraId="7AA840F9" w14:textId="77777777" w:rsidR="00494452"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4a</w:t>
      </w:r>
      <w:r w:rsidR="00796058" w:rsidRPr="009D4E26">
        <w:rPr>
          <w:rFonts w:asciiTheme="minorHAnsi" w:hAnsiTheme="minorHAnsi" w:cs="Calibri"/>
          <w:sz w:val="22"/>
          <w:szCs w:val="22"/>
          <w:lang w:eastAsia="ar-SA"/>
        </w:rPr>
        <w:t xml:space="preserve"> - Kryteria wyboru projektów grantowych  LGD  Kwiat Lnu  w ramach realizacji LSR 2014-2020 - działania inwestycyjne</w:t>
      </w:r>
    </w:p>
    <w:p w14:paraId="23D179BC" w14:textId="77777777" w:rsidR="00796058" w:rsidRPr="009D4E26" w:rsidRDefault="00D942DF" w:rsidP="009D4E26">
      <w:pPr>
        <w:jc w:val="both"/>
        <w:rPr>
          <w:rFonts w:asciiTheme="minorHAnsi" w:hAnsiTheme="minorHAnsi" w:cstheme="minorHAnsi"/>
        </w:rPr>
      </w:pPr>
      <w:r w:rsidRPr="009D4E26">
        <w:rPr>
          <w:rFonts w:asciiTheme="minorHAnsi" w:hAnsiTheme="minorHAnsi" w:cs="Calibri"/>
          <w:sz w:val="22"/>
          <w:szCs w:val="22"/>
          <w:lang w:eastAsia="ar-SA"/>
        </w:rPr>
        <w:t>Załącznik nr 4b</w:t>
      </w:r>
      <w:r w:rsidR="00796058" w:rsidRPr="009D4E26">
        <w:rPr>
          <w:rFonts w:asciiTheme="minorHAnsi" w:hAnsiTheme="minorHAnsi" w:cs="Calibri"/>
          <w:sz w:val="22"/>
          <w:szCs w:val="22"/>
          <w:lang w:eastAsia="ar-SA"/>
        </w:rPr>
        <w:t xml:space="preserve"> - Kryteria wyboru projektów grantowych  LGD  Kwiat Lnu  w ramach realizacji LSR 2014-2020 - działania </w:t>
      </w:r>
      <w:proofErr w:type="spellStart"/>
      <w:r w:rsidR="00796058" w:rsidRPr="009D4E26">
        <w:rPr>
          <w:rFonts w:asciiTheme="minorHAnsi" w:hAnsiTheme="minorHAnsi" w:cs="Calibri"/>
          <w:sz w:val="22"/>
          <w:szCs w:val="22"/>
          <w:lang w:eastAsia="ar-SA"/>
        </w:rPr>
        <w:t>nieinwestycyjne</w:t>
      </w:r>
      <w:proofErr w:type="spellEnd"/>
    </w:p>
    <w:p w14:paraId="3637DCB7" w14:textId="77777777" w:rsidR="00796058" w:rsidRPr="009D4E26" w:rsidRDefault="00796058" w:rsidP="009D4E26">
      <w:pPr>
        <w:jc w:val="both"/>
        <w:rPr>
          <w:rFonts w:asciiTheme="minorHAnsi" w:hAnsiTheme="minorHAnsi" w:cstheme="minorHAnsi"/>
          <w:color w:val="FF0000"/>
        </w:rPr>
      </w:pPr>
    </w:p>
    <w:sectPr w:rsidR="00796058" w:rsidRPr="009D4E26" w:rsidSect="00CC49AC">
      <w:headerReference w:type="default" r:id="rId16"/>
      <w:pgSz w:w="11906" w:h="16838"/>
      <w:pgMar w:top="851" w:right="127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37131" w15:done="0"/>
  <w15:commentEx w15:paraId="331A38F2" w15:done="0"/>
  <w15:commentEx w15:paraId="10077515" w15:done="0"/>
  <w15:commentEx w15:paraId="09235FF4" w15:done="0"/>
  <w15:commentEx w15:paraId="2D24C565" w15:done="0"/>
  <w15:commentEx w15:paraId="76B57E8B" w15:done="0"/>
  <w15:commentEx w15:paraId="2BC485F2" w15:done="0"/>
  <w15:commentEx w15:paraId="2D535A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9F26C" w14:textId="77777777" w:rsidR="00EE22F2" w:rsidRDefault="00EE22F2" w:rsidP="008D075D">
      <w:r>
        <w:separator/>
      </w:r>
    </w:p>
  </w:endnote>
  <w:endnote w:type="continuationSeparator" w:id="0">
    <w:p w14:paraId="5F09F490" w14:textId="77777777" w:rsidR="00EE22F2" w:rsidRDefault="00EE22F2" w:rsidP="008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4371A" w14:textId="77777777" w:rsidR="00EE22F2" w:rsidRDefault="00EE22F2" w:rsidP="008D075D">
      <w:r>
        <w:separator/>
      </w:r>
    </w:p>
  </w:footnote>
  <w:footnote w:type="continuationSeparator" w:id="0">
    <w:p w14:paraId="04587885" w14:textId="77777777" w:rsidR="00EE22F2" w:rsidRDefault="00EE22F2" w:rsidP="008D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A0F2" w14:textId="77777777" w:rsidR="00EE22F2" w:rsidRDefault="00EE22F2" w:rsidP="008D075D">
    <w:pPr>
      <w:pStyle w:val="Nagwek"/>
      <w:jc w:val="center"/>
    </w:pPr>
    <w:r>
      <w:t xml:space="preserve"> </w:t>
    </w:r>
  </w:p>
  <w:p w14:paraId="53AB155E" w14:textId="77777777" w:rsidR="00EE22F2" w:rsidRDefault="00EE22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BD6"/>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F3415B"/>
    <w:multiLevelType w:val="hybridMultilevel"/>
    <w:tmpl w:val="234A1CE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nsid w:val="078C2784"/>
    <w:multiLevelType w:val="hybridMultilevel"/>
    <w:tmpl w:val="B1080368"/>
    <w:lvl w:ilvl="0" w:tplc="1016719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D7CA2"/>
    <w:multiLevelType w:val="hybridMultilevel"/>
    <w:tmpl w:val="433EF800"/>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F2AB2"/>
    <w:multiLevelType w:val="hybridMultilevel"/>
    <w:tmpl w:val="54362914"/>
    <w:lvl w:ilvl="0" w:tplc="9F9EFAEA">
      <w:start w:val="1"/>
      <w:numFmt w:val="upperRoman"/>
      <w:lvlText w:val="%1."/>
      <w:lvlJc w:val="left"/>
      <w:pPr>
        <w:ind w:left="720" w:hanging="360"/>
      </w:pPr>
      <w:rPr>
        <w:rFonts w:ascii="Calibri" w:eastAsia="Times New Roman" w:hAnsi="Calibri" w:cs="Calibri"/>
      </w:rPr>
    </w:lvl>
    <w:lvl w:ilvl="1" w:tplc="71FEA166">
      <w:start w:val="1"/>
      <w:numFmt w:val="decimal"/>
      <w:lvlText w:val="%2."/>
      <w:lvlJc w:val="left"/>
      <w:pPr>
        <w:ind w:left="1440" w:hanging="360"/>
      </w:pPr>
      <w:rPr>
        <w:rFonts w:ascii="Times New Roman" w:eastAsia="Times New Roman" w:hAnsi="Times New Roman" w:cs="Times New Roman"/>
      </w:rPr>
    </w:lvl>
    <w:lvl w:ilvl="2" w:tplc="614612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7749F5"/>
    <w:multiLevelType w:val="hybridMultilevel"/>
    <w:tmpl w:val="1876B954"/>
    <w:lvl w:ilvl="0" w:tplc="53E259D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032274"/>
    <w:multiLevelType w:val="hybridMultilevel"/>
    <w:tmpl w:val="704C9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F662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9B52C7"/>
    <w:multiLevelType w:val="hybridMultilevel"/>
    <w:tmpl w:val="A3FA4024"/>
    <w:lvl w:ilvl="0" w:tplc="0415000F">
      <w:start w:val="1"/>
      <w:numFmt w:val="decimal"/>
      <w:lvlText w:val="%1."/>
      <w:lvlJc w:val="left"/>
      <w:pPr>
        <w:ind w:left="720" w:hanging="360"/>
      </w:pPr>
    </w:lvl>
    <w:lvl w:ilvl="1" w:tplc="04150017">
      <w:start w:val="1"/>
      <w:numFmt w:val="lowerLetter"/>
      <w:lvlText w:val="%2)"/>
      <w:lvlJc w:val="left"/>
      <w:pPr>
        <w:ind w:left="1495" w:hanging="360"/>
      </w:pPr>
      <w:rPr>
        <w:rFonts w:hint="default"/>
      </w:rPr>
    </w:lvl>
    <w:lvl w:ilvl="2" w:tplc="04150001">
      <w:start w:val="1"/>
      <w:numFmt w:val="bullet"/>
      <w:lvlText w:val=""/>
      <w:lvlJc w:val="left"/>
      <w:pPr>
        <w:ind w:left="1315" w:hanging="180"/>
      </w:pPr>
      <w:rPr>
        <w:rFonts w:ascii="Symbol" w:hAnsi="Symbol" w:hint="default"/>
      </w:rPr>
    </w:lvl>
    <w:lvl w:ilvl="3" w:tplc="0C9041E4">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FB50AB"/>
    <w:multiLevelType w:val="multilevel"/>
    <w:tmpl w:val="EF285350"/>
    <w:lvl w:ilvl="0">
      <w:start w:val="1"/>
      <w:numFmt w:val="decimal"/>
      <w:lvlText w:val="%1."/>
      <w:lvlJc w:val="left"/>
      <w:pPr>
        <w:tabs>
          <w:tab w:val="num" w:pos="644"/>
        </w:tabs>
        <w:ind w:left="644" w:hanging="360"/>
      </w:pPr>
      <w:rPr>
        <w:rFonts w:ascii="Times New Roman" w:eastAsia="SimSun" w:hAnsi="Times New Roman" w:cs="Times New Roman"/>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3A226A1C"/>
    <w:multiLevelType w:val="multilevel"/>
    <w:tmpl w:val="B2643F4A"/>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5"/>
      <w:numFmt w:val="decimal"/>
      <w:lvlText w:val="%3."/>
      <w:lvlJc w:val="left"/>
      <w:pPr>
        <w:tabs>
          <w:tab w:val="num" w:pos="1364"/>
        </w:tabs>
        <w:ind w:left="1364" w:hanging="360"/>
      </w:pPr>
      <w:rPr>
        <w:rFonts w:hint="default"/>
      </w:rPr>
    </w:lvl>
    <w:lvl w:ilvl="3">
      <w:start w:val="7"/>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0">
    <w:nsid w:val="3DF06122"/>
    <w:multiLevelType w:val="multilevel"/>
    <w:tmpl w:val="EFDEDD28"/>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5"/>
      <w:numFmt w:val="decimal"/>
      <w:lvlText w:val="%4."/>
      <w:lvlJc w:val="left"/>
      <w:pPr>
        <w:tabs>
          <w:tab w:val="num" w:pos="1724"/>
        </w:tabs>
        <w:ind w:left="1724" w:hanging="360"/>
      </w:pPr>
      <w:rPr>
        <w:rFonts w:hint="default"/>
        <w:i w:val="0"/>
        <w:color w:val="auto"/>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1">
    <w:nsid w:val="43711014"/>
    <w:multiLevelType w:val="hybridMultilevel"/>
    <w:tmpl w:val="EDF6BAC6"/>
    <w:lvl w:ilvl="0" w:tplc="3746D44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4FF3392"/>
    <w:multiLevelType w:val="hybridMultilevel"/>
    <w:tmpl w:val="3BAA6B1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478C7A13"/>
    <w:multiLevelType w:val="hybridMultilevel"/>
    <w:tmpl w:val="79A6630A"/>
    <w:lvl w:ilvl="0" w:tplc="209EA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152DB1"/>
    <w:multiLevelType w:val="hybridMultilevel"/>
    <w:tmpl w:val="2312E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D4187E"/>
    <w:multiLevelType w:val="hybridMultilevel"/>
    <w:tmpl w:val="30267CAA"/>
    <w:lvl w:ilvl="0" w:tplc="C3C877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651B08B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89C6D9C"/>
    <w:multiLevelType w:val="hybridMultilevel"/>
    <w:tmpl w:val="0A581E42"/>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853829"/>
    <w:multiLevelType w:val="hybridMultilevel"/>
    <w:tmpl w:val="2960C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E7399C"/>
    <w:multiLevelType w:val="hybridMultilevel"/>
    <w:tmpl w:val="5C1C1654"/>
    <w:lvl w:ilvl="0" w:tplc="D8C0CA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8962C4"/>
    <w:multiLevelType w:val="hybridMultilevel"/>
    <w:tmpl w:val="79E48E44"/>
    <w:lvl w:ilvl="0" w:tplc="2E16564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70745CBE"/>
    <w:multiLevelType w:val="hybridMultilevel"/>
    <w:tmpl w:val="35F421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764A0"/>
    <w:multiLevelType w:val="hybridMultilevel"/>
    <w:tmpl w:val="E546574A"/>
    <w:lvl w:ilvl="0" w:tplc="96D26E82">
      <w:start w:val="1"/>
      <w:numFmt w:val="decimal"/>
      <w:lvlText w:val="%1."/>
      <w:lvlJc w:val="left"/>
      <w:pPr>
        <w:ind w:left="720" w:hanging="360"/>
      </w:pPr>
      <w:rPr>
        <w:rFonts w:hint="default"/>
        <w:color w:val="8064A2" w:themeColor="accent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4"/>
  </w:num>
  <w:num w:numId="3">
    <w:abstractNumId w:val="14"/>
  </w:num>
  <w:num w:numId="4">
    <w:abstractNumId w:val="20"/>
  </w:num>
  <w:num w:numId="5">
    <w:abstractNumId w:val="8"/>
  </w:num>
  <w:num w:numId="6">
    <w:abstractNumId w:val="5"/>
  </w:num>
  <w:num w:numId="7">
    <w:abstractNumId w:val="6"/>
  </w:num>
  <w:num w:numId="8">
    <w:abstractNumId w:val="24"/>
  </w:num>
  <w:num w:numId="9">
    <w:abstractNumId w:val="18"/>
  </w:num>
  <w:num w:numId="10">
    <w:abstractNumId w:val="26"/>
  </w:num>
  <w:num w:numId="11">
    <w:abstractNumId w:val="22"/>
  </w:num>
  <w:num w:numId="12">
    <w:abstractNumId w:val="25"/>
  </w:num>
  <w:num w:numId="13">
    <w:abstractNumId w:val="3"/>
  </w:num>
  <w:num w:numId="14">
    <w:abstractNumId w:val="15"/>
  </w:num>
  <w:num w:numId="15">
    <w:abstractNumId w:val="19"/>
  </w:num>
  <w:num w:numId="16">
    <w:abstractNumId w:val="13"/>
  </w:num>
  <w:num w:numId="17">
    <w:abstractNumId w:val="11"/>
  </w:num>
  <w:num w:numId="18">
    <w:abstractNumId w:val="16"/>
  </w:num>
  <w:num w:numId="19">
    <w:abstractNumId w:val="0"/>
  </w:num>
  <w:num w:numId="20">
    <w:abstractNumId w:val="7"/>
  </w:num>
  <w:num w:numId="21">
    <w:abstractNumId w:val="1"/>
  </w:num>
  <w:num w:numId="22">
    <w:abstractNumId w:val="23"/>
  </w:num>
  <w:num w:numId="23">
    <w:abstractNumId w:val="12"/>
  </w:num>
  <w:num w:numId="24">
    <w:abstractNumId w:val="21"/>
  </w:num>
  <w:num w:numId="25">
    <w:abstractNumId w:val="10"/>
  </w:num>
  <w:num w:numId="26">
    <w:abstractNumId w:val="9"/>
  </w:num>
  <w:num w:numId="27">
    <w:abstractNumId w:val="17"/>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5D"/>
    <w:rsid w:val="0000277E"/>
    <w:rsid w:val="0001226C"/>
    <w:rsid w:val="00012863"/>
    <w:rsid w:val="00014C6C"/>
    <w:rsid w:val="00020BAF"/>
    <w:rsid w:val="0002777A"/>
    <w:rsid w:val="00032EF7"/>
    <w:rsid w:val="00033B83"/>
    <w:rsid w:val="00046358"/>
    <w:rsid w:val="00054FC3"/>
    <w:rsid w:val="00064C58"/>
    <w:rsid w:val="00083434"/>
    <w:rsid w:val="0008368A"/>
    <w:rsid w:val="00087BAE"/>
    <w:rsid w:val="00092CA6"/>
    <w:rsid w:val="000B5BD4"/>
    <w:rsid w:val="000B6283"/>
    <w:rsid w:val="000C146F"/>
    <w:rsid w:val="000C3267"/>
    <w:rsid w:val="000C46F8"/>
    <w:rsid w:val="000D65EC"/>
    <w:rsid w:val="000D6E06"/>
    <w:rsid w:val="000E3C5A"/>
    <w:rsid w:val="000E6754"/>
    <w:rsid w:val="000E6EB8"/>
    <w:rsid w:val="000F1F06"/>
    <w:rsid w:val="000F4D07"/>
    <w:rsid w:val="00102DE4"/>
    <w:rsid w:val="00122284"/>
    <w:rsid w:val="00125CBC"/>
    <w:rsid w:val="001260F0"/>
    <w:rsid w:val="001349D2"/>
    <w:rsid w:val="00147B7E"/>
    <w:rsid w:val="001527F1"/>
    <w:rsid w:val="00152C20"/>
    <w:rsid w:val="00160F8C"/>
    <w:rsid w:val="00167A24"/>
    <w:rsid w:val="00176F50"/>
    <w:rsid w:val="00180A81"/>
    <w:rsid w:val="00184F9D"/>
    <w:rsid w:val="001853CE"/>
    <w:rsid w:val="00186840"/>
    <w:rsid w:val="0018768F"/>
    <w:rsid w:val="00195F3A"/>
    <w:rsid w:val="00196FFD"/>
    <w:rsid w:val="001A1271"/>
    <w:rsid w:val="001A5674"/>
    <w:rsid w:val="001B20FA"/>
    <w:rsid w:val="001B5065"/>
    <w:rsid w:val="001D628E"/>
    <w:rsid w:val="001F5802"/>
    <w:rsid w:val="002035D1"/>
    <w:rsid w:val="00203F37"/>
    <w:rsid w:val="00211EC9"/>
    <w:rsid w:val="002205A2"/>
    <w:rsid w:val="00222826"/>
    <w:rsid w:val="0022649D"/>
    <w:rsid w:val="0022672F"/>
    <w:rsid w:val="00230B09"/>
    <w:rsid w:val="002363F6"/>
    <w:rsid w:val="002407DF"/>
    <w:rsid w:val="00251D9E"/>
    <w:rsid w:val="00262F29"/>
    <w:rsid w:val="00285B90"/>
    <w:rsid w:val="00291FEB"/>
    <w:rsid w:val="00292BA9"/>
    <w:rsid w:val="00294753"/>
    <w:rsid w:val="00295E98"/>
    <w:rsid w:val="002A54BD"/>
    <w:rsid w:val="002B2404"/>
    <w:rsid w:val="002D32AE"/>
    <w:rsid w:val="002D4A15"/>
    <w:rsid w:val="002F5575"/>
    <w:rsid w:val="00317325"/>
    <w:rsid w:val="00321A16"/>
    <w:rsid w:val="00325C6F"/>
    <w:rsid w:val="003467E9"/>
    <w:rsid w:val="00347B12"/>
    <w:rsid w:val="003665BB"/>
    <w:rsid w:val="00366A99"/>
    <w:rsid w:val="00367B46"/>
    <w:rsid w:val="0037158E"/>
    <w:rsid w:val="003763E3"/>
    <w:rsid w:val="00383E00"/>
    <w:rsid w:val="00387062"/>
    <w:rsid w:val="00387FAE"/>
    <w:rsid w:val="00391B42"/>
    <w:rsid w:val="00395F83"/>
    <w:rsid w:val="003B0E9E"/>
    <w:rsid w:val="003B3CA1"/>
    <w:rsid w:val="003C4285"/>
    <w:rsid w:val="003D5B75"/>
    <w:rsid w:val="003D683D"/>
    <w:rsid w:val="003F07F3"/>
    <w:rsid w:val="00402A7D"/>
    <w:rsid w:val="0040313A"/>
    <w:rsid w:val="00404AB3"/>
    <w:rsid w:val="00407017"/>
    <w:rsid w:val="00413850"/>
    <w:rsid w:val="00416E84"/>
    <w:rsid w:val="004268BB"/>
    <w:rsid w:val="0044159B"/>
    <w:rsid w:val="00441610"/>
    <w:rsid w:val="004418EF"/>
    <w:rsid w:val="00444B2A"/>
    <w:rsid w:val="00444E84"/>
    <w:rsid w:val="004466F5"/>
    <w:rsid w:val="00455660"/>
    <w:rsid w:val="0045609D"/>
    <w:rsid w:val="00456324"/>
    <w:rsid w:val="00472B2B"/>
    <w:rsid w:val="00483D5E"/>
    <w:rsid w:val="004929BE"/>
    <w:rsid w:val="00494452"/>
    <w:rsid w:val="00496D49"/>
    <w:rsid w:val="00496D5C"/>
    <w:rsid w:val="004A3485"/>
    <w:rsid w:val="004B2B3A"/>
    <w:rsid w:val="004C2549"/>
    <w:rsid w:val="004C4224"/>
    <w:rsid w:val="004C76F2"/>
    <w:rsid w:val="004D3BF3"/>
    <w:rsid w:val="004E01F8"/>
    <w:rsid w:val="004E3FA1"/>
    <w:rsid w:val="004E44B4"/>
    <w:rsid w:val="004E7AAB"/>
    <w:rsid w:val="004F161F"/>
    <w:rsid w:val="004F348E"/>
    <w:rsid w:val="004F3DD5"/>
    <w:rsid w:val="00510F97"/>
    <w:rsid w:val="005113CA"/>
    <w:rsid w:val="00537093"/>
    <w:rsid w:val="00541BB4"/>
    <w:rsid w:val="00550339"/>
    <w:rsid w:val="00553A68"/>
    <w:rsid w:val="00575668"/>
    <w:rsid w:val="00577188"/>
    <w:rsid w:val="005813C4"/>
    <w:rsid w:val="00585CAF"/>
    <w:rsid w:val="005870A5"/>
    <w:rsid w:val="00587588"/>
    <w:rsid w:val="0059747A"/>
    <w:rsid w:val="005A5B65"/>
    <w:rsid w:val="005A78B6"/>
    <w:rsid w:val="005B1825"/>
    <w:rsid w:val="005B3E1A"/>
    <w:rsid w:val="005B75E8"/>
    <w:rsid w:val="005D4788"/>
    <w:rsid w:val="005D612E"/>
    <w:rsid w:val="005F4030"/>
    <w:rsid w:val="005F7839"/>
    <w:rsid w:val="0060324E"/>
    <w:rsid w:val="00603643"/>
    <w:rsid w:val="00606F38"/>
    <w:rsid w:val="00615E11"/>
    <w:rsid w:val="00625A88"/>
    <w:rsid w:val="00626A40"/>
    <w:rsid w:val="0063000C"/>
    <w:rsid w:val="00630A28"/>
    <w:rsid w:val="0063724B"/>
    <w:rsid w:val="00637D48"/>
    <w:rsid w:val="006412D2"/>
    <w:rsid w:val="00651797"/>
    <w:rsid w:val="00655270"/>
    <w:rsid w:val="0066172F"/>
    <w:rsid w:val="00664319"/>
    <w:rsid w:val="0067012F"/>
    <w:rsid w:val="00671EE1"/>
    <w:rsid w:val="00683FB6"/>
    <w:rsid w:val="00685382"/>
    <w:rsid w:val="00686FC7"/>
    <w:rsid w:val="00692617"/>
    <w:rsid w:val="00697A7A"/>
    <w:rsid w:val="006A03EE"/>
    <w:rsid w:val="006A2C23"/>
    <w:rsid w:val="006B35F8"/>
    <w:rsid w:val="006B4E75"/>
    <w:rsid w:val="006B5C46"/>
    <w:rsid w:val="006C6307"/>
    <w:rsid w:val="006E5AA4"/>
    <w:rsid w:val="006F23EB"/>
    <w:rsid w:val="007003C3"/>
    <w:rsid w:val="0071043E"/>
    <w:rsid w:val="00720EB2"/>
    <w:rsid w:val="00726450"/>
    <w:rsid w:val="00726C4B"/>
    <w:rsid w:val="007333E1"/>
    <w:rsid w:val="00733C3F"/>
    <w:rsid w:val="007348DF"/>
    <w:rsid w:val="00740A08"/>
    <w:rsid w:val="00740D77"/>
    <w:rsid w:val="00751018"/>
    <w:rsid w:val="007544AE"/>
    <w:rsid w:val="00761DF3"/>
    <w:rsid w:val="00767B93"/>
    <w:rsid w:val="00770C85"/>
    <w:rsid w:val="0077543E"/>
    <w:rsid w:val="00783D23"/>
    <w:rsid w:val="00793BD8"/>
    <w:rsid w:val="00796058"/>
    <w:rsid w:val="007A799B"/>
    <w:rsid w:val="007B51C4"/>
    <w:rsid w:val="007B7901"/>
    <w:rsid w:val="007C0393"/>
    <w:rsid w:val="007C1284"/>
    <w:rsid w:val="007D081D"/>
    <w:rsid w:val="007E5185"/>
    <w:rsid w:val="007E68C3"/>
    <w:rsid w:val="007F3D1E"/>
    <w:rsid w:val="007F6C98"/>
    <w:rsid w:val="00806251"/>
    <w:rsid w:val="0081449E"/>
    <w:rsid w:val="008150F8"/>
    <w:rsid w:val="00820BCB"/>
    <w:rsid w:val="00824A01"/>
    <w:rsid w:val="00827AF4"/>
    <w:rsid w:val="00831183"/>
    <w:rsid w:val="008337A7"/>
    <w:rsid w:val="00833962"/>
    <w:rsid w:val="00836B51"/>
    <w:rsid w:val="00847A58"/>
    <w:rsid w:val="00854FF6"/>
    <w:rsid w:val="008716E3"/>
    <w:rsid w:val="00873FBC"/>
    <w:rsid w:val="0088759F"/>
    <w:rsid w:val="00891458"/>
    <w:rsid w:val="008A0B8B"/>
    <w:rsid w:val="008B1C53"/>
    <w:rsid w:val="008B36E6"/>
    <w:rsid w:val="008B4163"/>
    <w:rsid w:val="008B6D53"/>
    <w:rsid w:val="008C1074"/>
    <w:rsid w:val="008C370C"/>
    <w:rsid w:val="008D075D"/>
    <w:rsid w:val="008E53BF"/>
    <w:rsid w:val="008F18F9"/>
    <w:rsid w:val="00901D33"/>
    <w:rsid w:val="00902E55"/>
    <w:rsid w:val="0092721C"/>
    <w:rsid w:val="0093118B"/>
    <w:rsid w:val="00937AF0"/>
    <w:rsid w:val="00943F49"/>
    <w:rsid w:val="00957DB8"/>
    <w:rsid w:val="00964412"/>
    <w:rsid w:val="00965DB9"/>
    <w:rsid w:val="00975EEE"/>
    <w:rsid w:val="0098098C"/>
    <w:rsid w:val="00983EB1"/>
    <w:rsid w:val="00985AF2"/>
    <w:rsid w:val="00997861"/>
    <w:rsid w:val="009B2B8A"/>
    <w:rsid w:val="009B4D7C"/>
    <w:rsid w:val="009B729C"/>
    <w:rsid w:val="009C100D"/>
    <w:rsid w:val="009C4F52"/>
    <w:rsid w:val="009C68EB"/>
    <w:rsid w:val="009D3A5B"/>
    <w:rsid w:val="009D4692"/>
    <w:rsid w:val="009D4E26"/>
    <w:rsid w:val="009D65ED"/>
    <w:rsid w:val="009E746C"/>
    <w:rsid w:val="009F2958"/>
    <w:rsid w:val="009F71DD"/>
    <w:rsid w:val="00A135A7"/>
    <w:rsid w:val="00A16369"/>
    <w:rsid w:val="00A33664"/>
    <w:rsid w:val="00A37403"/>
    <w:rsid w:val="00A435DB"/>
    <w:rsid w:val="00A467CB"/>
    <w:rsid w:val="00A52527"/>
    <w:rsid w:val="00A52DE9"/>
    <w:rsid w:val="00A54FAA"/>
    <w:rsid w:val="00A63B06"/>
    <w:rsid w:val="00A8024B"/>
    <w:rsid w:val="00A864C3"/>
    <w:rsid w:val="00A9337A"/>
    <w:rsid w:val="00A94B0D"/>
    <w:rsid w:val="00AA0CAC"/>
    <w:rsid w:val="00AA3BB7"/>
    <w:rsid w:val="00AA4B4B"/>
    <w:rsid w:val="00AB551A"/>
    <w:rsid w:val="00AD67BA"/>
    <w:rsid w:val="00AF0779"/>
    <w:rsid w:val="00AF0964"/>
    <w:rsid w:val="00B00DE5"/>
    <w:rsid w:val="00B02E5E"/>
    <w:rsid w:val="00B0489C"/>
    <w:rsid w:val="00B0588F"/>
    <w:rsid w:val="00B05DBC"/>
    <w:rsid w:val="00B07ED2"/>
    <w:rsid w:val="00B370BD"/>
    <w:rsid w:val="00B41F95"/>
    <w:rsid w:val="00B5500C"/>
    <w:rsid w:val="00B606E9"/>
    <w:rsid w:val="00B60C75"/>
    <w:rsid w:val="00B74007"/>
    <w:rsid w:val="00B77A71"/>
    <w:rsid w:val="00B82E8B"/>
    <w:rsid w:val="00B90397"/>
    <w:rsid w:val="00BA09FE"/>
    <w:rsid w:val="00BA3E7D"/>
    <w:rsid w:val="00BA7BBB"/>
    <w:rsid w:val="00BB2C8E"/>
    <w:rsid w:val="00BB3071"/>
    <w:rsid w:val="00BF5181"/>
    <w:rsid w:val="00C02A02"/>
    <w:rsid w:val="00C02AE1"/>
    <w:rsid w:val="00C208C8"/>
    <w:rsid w:val="00C23CAB"/>
    <w:rsid w:val="00C34A75"/>
    <w:rsid w:val="00C3664E"/>
    <w:rsid w:val="00C564AA"/>
    <w:rsid w:val="00C6170A"/>
    <w:rsid w:val="00C64945"/>
    <w:rsid w:val="00C73684"/>
    <w:rsid w:val="00C77514"/>
    <w:rsid w:val="00C81E69"/>
    <w:rsid w:val="00C82516"/>
    <w:rsid w:val="00CA0D07"/>
    <w:rsid w:val="00CB1FA6"/>
    <w:rsid w:val="00CB49C1"/>
    <w:rsid w:val="00CC3E02"/>
    <w:rsid w:val="00CC49AC"/>
    <w:rsid w:val="00CD7516"/>
    <w:rsid w:val="00CE30E8"/>
    <w:rsid w:val="00CE61A1"/>
    <w:rsid w:val="00D019D8"/>
    <w:rsid w:val="00D21C28"/>
    <w:rsid w:val="00D251A5"/>
    <w:rsid w:val="00D3418D"/>
    <w:rsid w:val="00D41A64"/>
    <w:rsid w:val="00D54450"/>
    <w:rsid w:val="00D55BFC"/>
    <w:rsid w:val="00D56664"/>
    <w:rsid w:val="00D64FA8"/>
    <w:rsid w:val="00D65805"/>
    <w:rsid w:val="00D673EF"/>
    <w:rsid w:val="00D73B57"/>
    <w:rsid w:val="00D75A8C"/>
    <w:rsid w:val="00D820EE"/>
    <w:rsid w:val="00D85B47"/>
    <w:rsid w:val="00D942DF"/>
    <w:rsid w:val="00DB1146"/>
    <w:rsid w:val="00DB1992"/>
    <w:rsid w:val="00DB7391"/>
    <w:rsid w:val="00DD2DEB"/>
    <w:rsid w:val="00DD6A0E"/>
    <w:rsid w:val="00DD74EF"/>
    <w:rsid w:val="00DE4073"/>
    <w:rsid w:val="00DE79C6"/>
    <w:rsid w:val="00DE7C4D"/>
    <w:rsid w:val="00DF434D"/>
    <w:rsid w:val="00DF79B4"/>
    <w:rsid w:val="00E0230F"/>
    <w:rsid w:val="00E12773"/>
    <w:rsid w:val="00E14A22"/>
    <w:rsid w:val="00E14E78"/>
    <w:rsid w:val="00E16666"/>
    <w:rsid w:val="00E24442"/>
    <w:rsid w:val="00E2631A"/>
    <w:rsid w:val="00E32571"/>
    <w:rsid w:val="00E3687C"/>
    <w:rsid w:val="00E42755"/>
    <w:rsid w:val="00E502F2"/>
    <w:rsid w:val="00E554D7"/>
    <w:rsid w:val="00E605DF"/>
    <w:rsid w:val="00E61A0B"/>
    <w:rsid w:val="00E667B3"/>
    <w:rsid w:val="00E76A92"/>
    <w:rsid w:val="00E80D92"/>
    <w:rsid w:val="00E840C7"/>
    <w:rsid w:val="00E8620D"/>
    <w:rsid w:val="00E92083"/>
    <w:rsid w:val="00E94872"/>
    <w:rsid w:val="00E94DF0"/>
    <w:rsid w:val="00EA09D4"/>
    <w:rsid w:val="00EA28BF"/>
    <w:rsid w:val="00EA7E9C"/>
    <w:rsid w:val="00EB4668"/>
    <w:rsid w:val="00EB51D1"/>
    <w:rsid w:val="00EB5F6E"/>
    <w:rsid w:val="00EB764D"/>
    <w:rsid w:val="00EC26EC"/>
    <w:rsid w:val="00EC747C"/>
    <w:rsid w:val="00ED3FED"/>
    <w:rsid w:val="00ED4C2E"/>
    <w:rsid w:val="00ED571D"/>
    <w:rsid w:val="00EE22F2"/>
    <w:rsid w:val="00EE324E"/>
    <w:rsid w:val="00EE3F83"/>
    <w:rsid w:val="00EF78E2"/>
    <w:rsid w:val="00F00715"/>
    <w:rsid w:val="00F046A2"/>
    <w:rsid w:val="00F12830"/>
    <w:rsid w:val="00F13987"/>
    <w:rsid w:val="00F3015C"/>
    <w:rsid w:val="00F32825"/>
    <w:rsid w:val="00F362C1"/>
    <w:rsid w:val="00F40110"/>
    <w:rsid w:val="00F41AE4"/>
    <w:rsid w:val="00F41E4C"/>
    <w:rsid w:val="00F47875"/>
    <w:rsid w:val="00F47B8B"/>
    <w:rsid w:val="00F5138C"/>
    <w:rsid w:val="00F516D5"/>
    <w:rsid w:val="00F55379"/>
    <w:rsid w:val="00F80456"/>
    <w:rsid w:val="00F816A2"/>
    <w:rsid w:val="00F96BDC"/>
    <w:rsid w:val="00FB30BD"/>
    <w:rsid w:val="00FB6A0E"/>
    <w:rsid w:val="00FC53CF"/>
    <w:rsid w:val="00FD7CA6"/>
    <w:rsid w:val="00FE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wiatlnu.e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kwiatlnu.e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wiatlnu.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31EF-F41B-4705-BBB2-9F161838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2698</Words>
  <Characters>16191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23</cp:revision>
  <dcterms:created xsi:type="dcterms:W3CDTF">2018-05-18T08:43:00Z</dcterms:created>
  <dcterms:modified xsi:type="dcterms:W3CDTF">2018-05-25T07:53:00Z</dcterms:modified>
</cp:coreProperties>
</file>