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Strategia Rozwoju Lokalnego</w:t>
      </w:r>
    </w:p>
    <w:p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 xml:space="preserve">Kierowanego przez Społeczność w ramach </w:t>
      </w:r>
    </w:p>
    <w:p w:rsidR="005F5E3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Programu Rozwoju Obszarów Wiejskich na lata 2014 – 2020(23)</w:t>
      </w:r>
    </w:p>
    <w:p w:rsidR="00757E70" w:rsidRPr="00E46F81" w:rsidRDefault="00E46F81" w:rsidP="00E46F81">
      <w:pPr>
        <w:jc w:val="center"/>
        <w:rPr>
          <w:rFonts w:ascii="Times New Roman" w:hAnsi="Times New Roman" w:cs="Times New Roman"/>
          <w:b/>
          <w:color w:val="365F91" w:themeColor="accent1" w:themeShade="BF"/>
          <w:sz w:val="36"/>
          <w:szCs w:val="36"/>
        </w:rPr>
      </w:pPr>
      <w:r w:rsidRPr="00E46F81">
        <w:rPr>
          <w:rFonts w:ascii="Times New Roman" w:hAnsi="Times New Roman" w:cs="Times New Roman"/>
          <w:b/>
          <w:color w:val="365F91" w:themeColor="accent1" w:themeShade="BF"/>
          <w:sz w:val="36"/>
          <w:szCs w:val="36"/>
        </w:rPr>
        <w:t>Lokalnej Grupy Działania Kwiat Lnu</w:t>
      </w:r>
    </w:p>
    <w:p w:rsidR="00066CE2" w:rsidRPr="00757E70" w:rsidRDefault="00066CE2" w:rsidP="00757E7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757E70" w:rsidTr="00066CE2">
        <w:tc>
          <w:tcPr>
            <w:tcW w:w="10628" w:type="dxa"/>
          </w:tcPr>
          <w:p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4656" behindDoc="0" locked="0" layoutInCell="1" allowOverlap="1">
                  <wp:simplePos x="0" y="0"/>
                  <wp:positionH relativeFrom="margin">
                    <wp:posOffset>3307080</wp:posOffset>
                  </wp:positionH>
                  <wp:positionV relativeFrom="margin">
                    <wp:posOffset>129540</wp:posOffset>
                  </wp:positionV>
                  <wp:extent cx="692785" cy="762000"/>
                  <wp:effectExtent l="19050" t="0" r="0" b="0"/>
                  <wp:wrapSquare wrapText="bothSides"/>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7620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5680" behindDoc="0" locked="0" layoutInCell="1" allowOverlap="1">
                  <wp:simplePos x="0" y="0"/>
                  <wp:positionH relativeFrom="margin">
                    <wp:posOffset>4184015</wp:posOffset>
                  </wp:positionH>
                  <wp:positionV relativeFrom="margin">
                    <wp:posOffset>92710</wp:posOffset>
                  </wp:positionV>
                  <wp:extent cx="590550" cy="800100"/>
                  <wp:effectExtent l="19050" t="0" r="0" b="0"/>
                  <wp:wrapSquare wrapText="bothSides"/>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2608" behindDoc="0" locked="0" layoutInCell="1" allowOverlap="1">
                  <wp:simplePos x="0" y="0"/>
                  <wp:positionH relativeFrom="margin">
                    <wp:posOffset>5041265</wp:posOffset>
                  </wp:positionH>
                  <wp:positionV relativeFrom="margin">
                    <wp:posOffset>91440</wp:posOffset>
                  </wp:positionV>
                  <wp:extent cx="704850" cy="828675"/>
                  <wp:effectExtent l="19050" t="0" r="0" b="0"/>
                  <wp:wrapSquare wrapText="bothSides"/>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1584" behindDoc="0" locked="0" layoutInCell="1" allowOverlap="1">
                  <wp:simplePos x="0" y="0"/>
                  <wp:positionH relativeFrom="margin">
                    <wp:posOffset>5974715</wp:posOffset>
                  </wp:positionH>
                  <wp:positionV relativeFrom="margin">
                    <wp:posOffset>81915</wp:posOffset>
                  </wp:positionV>
                  <wp:extent cx="771525" cy="885825"/>
                  <wp:effectExtent l="19050" t="0" r="9525" b="0"/>
                  <wp:wrapSquare wrapText="bothSides"/>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0560" behindDoc="0" locked="0" layoutInCell="1" allowOverlap="1">
                  <wp:simplePos x="0" y="0"/>
                  <wp:positionH relativeFrom="margin">
                    <wp:posOffset>831215</wp:posOffset>
                  </wp:positionH>
                  <wp:positionV relativeFrom="margin">
                    <wp:posOffset>91440</wp:posOffset>
                  </wp:positionV>
                  <wp:extent cx="676275" cy="790575"/>
                  <wp:effectExtent l="19050" t="0" r="9525" b="0"/>
                  <wp:wrapSquare wrapText="bothSides"/>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pic:spPr>
                      </pic:pic>
                    </a:graphicData>
                  </a:graphic>
                </wp:anchor>
              </w:drawing>
            </w:r>
            <w:r w:rsidR="00757E70">
              <w:rPr>
                <w:rFonts w:ascii="Times New Roman" w:hAnsi="Times New Roman" w:cs="Times New Roman"/>
                <w:noProof/>
              </w:rPr>
              <w:drawing>
                <wp:anchor distT="0" distB="0" distL="114300" distR="114300" simplePos="0" relativeHeight="251648512" behindDoc="0" locked="0" layoutInCell="1" allowOverlap="1">
                  <wp:simplePos x="0" y="0"/>
                  <wp:positionH relativeFrom="margin">
                    <wp:posOffset>1730375</wp:posOffset>
                  </wp:positionH>
                  <wp:positionV relativeFrom="margin">
                    <wp:posOffset>81915</wp:posOffset>
                  </wp:positionV>
                  <wp:extent cx="715010" cy="895350"/>
                  <wp:effectExtent l="19050" t="0" r="8890" b="0"/>
                  <wp:wrapSquare wrapText="bothSides"/>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010" cy="895350"/>
                          </a:xfrm>
                          <a:prstGeom prst="rect">
                            <a:avLst/>
                          </a:prstGeom>
                          <a:noFill/>
                        </pic:spPr>
                      </pic:pic>
                    </a:graphicData>
                  </a:graphic>
                </wp:anchor>
              </w:drawing>
            </w:r>
          </w:p>
          <w:p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3632" behindDoc="0" locked="0" layoutInCell="1" allowOverlap="1">
                  <wp:simplePos x="0" y="0"/>
                  <wp:positionH relativeFrom="margin">
                    <wp:posOffset>2574290</wp:posOffset>
                  </wp:positionH>
                  <wp:positionV relativeFrom="margin">
                    <wp:posOffset>129540</wp:posOffset>
                  </wp:positionV>
                  <wp:extent cx="542925" cy="714375"/>
                  <wp:effectExtent l="19050" t="0" r="9525" b="0"/>
                  <wp:wrapSquare wrapText="bothSides"/>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49536" behindDoc="0" locked="0" layoutInCell="1" allowOverlap="1">
                  <wp:simplePos x="0" y="0"/>
                  <wp:positionH relativeFrom="margin">
                    <wp:posOffset>-45085</wp:posOffset>
                  </wp:positionH>
                  <wp:positionV relativeFrom="margin">
                    <wp:posOffset>120015</wp:posOffset>
                  </wp:positionV>
                  <wp:extent cx="638175" cy="771525"/>
                  <wp:effectExtent l="19050" t="0" r="9525" b="0"/>
                  <wp:wrapSquare wrapText="bothSides"/>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pic:spPr>
                      </pic:pic>
                    </a:graphicData>
                  </a:graphic>
                </wp:anchor>
              </w:drawing>
            </w:r>
          </w:p>
        </w:tc>
      </w:tr>
    </w:tbl>
    <w:p w:rsidR="005F5E3C" w:rsidRPr="00066CE2" w:rsidRDefault="005F5E3C" w:rsidP="00066CE2">
      <w:pPr>
        <w:spacing w:line="240" w:lineRule="auto"/>
        <w:jc w:val="center"/>
        <w:rPr>
          <w:rFonts w:ascii="Times New Roman" w:hAnsi="Times New Roman" w:cs="Times New Roman"/>
        </w:rPr>
      </w:pPr>
      <w:r w:rsidRPr="00117ABC">
        <w:rPr>
          <w:rFonts w:ascii="Times New Roman" w:hAnsi="Times New Roman" w:cs="Times New Roman"/>
          <w:b/>
          <w:color w:val="000000"/>
          <w:sz w:val="24"/>
          <w:szCs w:val="24"/>
        </w:rPr>
        <w:t>obejmująca obszar gmin:</w:t>
      </w:r>
    </w:p>
    <w:p w:rsidR="00066CE2" w:rsidRDefault="005F5E3C" w:rsidP="00066CE2">
      <w:pPr>
        <w:spacing w:after="120" w:line="240" w:lineRule="auto"/>
        <w:jc w:val="center"/>
        <w:rPr>
          <w:rFonts w:ascii="Times New Roman" w:hAnsi="Times New Roman" w:cs="Times New Roman"/>
          <w:b/>
          <w:color w:val="000000"/>
          <w:sz w:val="24"/>
          <w:szCs w:val="24"/>
        </w:rPr>
      </w:pPr>
      <w:r w:rsidRPr="00117ABC">
        <w:rPr>
          <w:rFonts w:ascii="Times New Roman" w:hAnsi="Times New Roman" w:cs="Times New Roman"/>
          <w:b/>
          <w:color w:val="000000"/>
          <w:sz w:val="24"/>
          <w:szCs w:val="24"/>
        </w:rPr>
        <w:t xml:space="preserve">Boguszów-Gorce, Czarny Bór, Kamienna Góra, Lubawka, Marciszów, Mieroszów, </w:t>
      </w:r>
    </w:p>
    <w:p w:rsidR="005F5E3C" w:rsidRPr="00117ABC" w:rsidRDefault="00E46F81" w:rsidP="00066CE2">
      <w:pPr>
        <w:spacing w:after="12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anchor distT="0" distB="0" distL="114300" distR="114300" simplePos="0" relativeHeight="251659776" behindDoc="0" locked="0" layoutInCell="1" allowOverlap="1">
            <wp:simplePos x="0" y="0"/>
            <wp:positionH relativeFrom="margin">
              <wp:align>center</wp:align>
            </wp:positionH>
            <wp:positionV relativeFrom="margin">
              <wp:posOffset>3985260</wp:posOffset>
            </wp:positionV>
            <wp:extent cx="4619625" cy="1714500"/>
            <wp:effectExtent l="19050" t="0" r="9525" b="0"/>
            <wp:wrapSquare wrapText="bothSides"/>
            <wp:docPr id="14" name="Obraz 2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iat Lnu\Desktop\logo_lgd_kwiat_lnu_niebiesk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1714500"/>
                    </a:xfrm>
                    <a:prstGeom prst="rect">
                      <a:avLst/>
                    </a:prstGeom>
                    <a:noFill/>
                    <a:ln>
                      <a:noFill/>
                    </a:ln>
                  </pic:spPr>
                </pic:pic>
              </a:graphicData>
            </a:graphic>
          </wp:anchor>
        </w:drawing>
      </w:r>
      <w:r w:rsidR="005F5E3C" w:rsidRPr="00117ABC">
        <w:rPr>
          <w:rFonts w:ascii="Times New Roman" w:hAnsi="Times New Roman" w:cs="Times New Roman"/>
          <w:b/>
          <w:color w:val="000000"/>
          <w:sz w:val="24"/>
          <w:szCs w:val="24"/>
        </w:rPr>
        <w:t>Stare Bogaczowice i Szczawno-Zdrój</w:t>
      </w:r>
    </w:p>
    <w:p w:rsidR="005F5E3C" w:rsidRPr="00E87A5F" w:rsidRDefault="005F5E3C" w:rsidP="005F5E3C">
      <w:pPr>
        <w:spacing w:after="120" w:line="240" w:lineRule="auto"/>
        <w:jc w:val="both"/>
        <w:rPr>
          <w:rFonts w:ascii="Times New Roman" w:hAnsi="Times New Roman" w:cs="Times New Roman"/>
          <w:b/>
          <w:color w:val="000000"/>
        </w:rPr>
      </w:pPr>
    </w:p>
    <w:p w:rsidR="005F5E3C" w:rsidRPr="00E87A5F" w:rsidRDefault="005F5E3C" w:rsidP="005F5E3C">
      <w:pPr>
        <w:spacing w:after="120" w:line="240" w:lineRule="auto"/>
        <w:jc w:val="both"/>
        <w:rPr>
          <w:rFonts w:ascii="Times New Roman" w:hAnsi="Times New Roman" w:cs="Times New Roman"/>
          <w:b/>
          <w:color w:val="000000"/>
        </w:rPr>
      </w:pPr>
    </w:p>
    <w:p w:rsidR="005F5E3C" w:rsidRPr="00E87A5F" w:rsidRDefault="005F5E3C" w:rsidP="005F5E3C">
      <w:pPr>
        <w:spacing w:after="120" w:line="240" w:lineRule="auto"/>
        <w:jc w:val="center"/>
        <w:rPr>
          <w:rFonts w:ascii="Times New Roman" w:hAnsi="Times New Roman" w:cs="Times New Roman"/>
          <w:b/>
          <w:color w:val="000000"/>
        </w:rPr>
      </w:pPr>
    </w:p>
    <w:p w:rsidR="005F5E3C" w:rsidRPr="00E87A5F" w:rsidRDefault="005F5E3C" w:rsidP="005F5E3C">
      <w:pPr>
        <w:spacing w:after="120" w:line="240" w:lineRule="auto"/>
        <w:jc w:val="both"/>
        <w:rPr>
          <w:rFonts w:ascii="Times New Roman" w:hAnsi="Times New Roman" w:cs="Times New Roman"/>
          <w:b/>
          <w:color w:val="000000"/>
        </w:rPr>
      </w:pPr>
    </w:p>
    <w:p w:rsidR="00117ABC" w:rsidRPr="00E87A5F" w:rsidRDefault="00117ABC" w:rsidP="005F5E3C">
      <w:pPr>
        <w:spacing w:after="240" w:line="240" w:lineRule="auto"/>
        <w:jc w:val="both"/>
        <w:rPr>
          <w:rFonts w:ascii="Times New Roman" w:hAnsi="Times New Roman" w:cs="Times New Roman"/>
          <w:b/>
          <w:color w:val="000000"/>
        </w:rPr>
      </w:pPr>
    </w:p>
    <w:p w:rsidR="005F5E3C" w:rsidRPr="00E87A5F" w:rsidRDefault="005F5E3C" w:rsidP="005F5E3C">
      <w:pPr>
        <w:spacing w:after="240" w:line="240" w:lineRule="auto"/>
        <w:jc w:val="center"/>
        <w:rPr>
          <w:rFonts w:ascii="Times New Roman" w:hAnsi="Times New Roman" w:cs="Times New Roman"/>
          <w:b/>
          <w:color w:val="000000"/>
        </w:rPr>
      </w:pP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C75C8F" w:rsidRDefault="00A11FEE" w:rsidP="00757E70">
      <w:pPr>
        <w:spacing w:after="0" w:line="240" w:lineRule="auto"/>
        <w:jc w:val="center"/>
        <w:rPr>
          <w:rFonts w:ascii="Times New Roman" w:hAnsi="Times New Roman" w:cs="Times New Roman"/>
          <w:sz w:val="18"/>
          <w:szCs w:val="18"/>
        </w:rPr>
      </w:pPr>
      <w:r>
        <w:rPr>
          <w:rFonts w:ascii="Times New Roman" w:hAnsi="Times New Roman" w:cs="Times New Roman"/>
          <w:noProof/>
        </w:rPr>
        <w:drawing>
          <wp:anchor distT="0" distB="0" distL="114300" distR="114300" simplePos="0" relativeHeight="251671040" behindDoc="1" locked="0" layoutInCell="1" allowOverlap="1" wp14:anchorId="5CFCDED1" wp14:editId="6BFCE3D2">
            <wp:simplePos x="0" y="0"/>
            <wp:positionH relativeFrom="column">
              <wp:posOffset>4298315</wp:posOffset>
            </wp:positionH>
            <wp:positionV relativeFrom="paragraph">
              <wp:posOffset>74295</wp:posOffset>
            </wp:positionV>
            <wp:extent cx="1250950" cy="819150"/>
            <wp:effectExtent l="0" t="0" r="0" b="0"/>
            <wp:wrapTight wrapText="bothSides">
              <wp:wrapPolygon edited="0">
                <wp:start x="0" y="0"/>
                <wp:lineTo x="0" y="21098"/>
                <wp:lineTo x="21381" y="21098"/>
                <wp:lineTo x="21381" y="0"/>
                <wp:lineTo x="0" y="0"/>
              </wp:wrapPolygon>
            </wp:wrapTight>
            <wp:docPr id="15" name="Obraz 15" descr="Z:\LGDkwiatlnu\Stowarzyszenie Kwiat Lnu\AKTUALNY_LEADER 2014-2020\loga i herb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GDkwiatlnu\Stowarzyszenie Kwiat Lnu\AKTUALNY_LEADER 2014-2020\loga i herby\PROW-2014-2020-logo-kolo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rPr>
        <w:drawing>
          <wp:anchor distT="0" distB="0" distL="114300" distR="114300" simplePos="0" relativeHeight="251670016" behindDoc="1" locked="0" layoutInCell="1" allowOverlap="1" wp14:anchorId="4E0ED64B" wp14:editId="2A3FEA71">
            <wp:simplePos x="0" y="0"/>
            <wp:positionH relativeFrom="column">
              <wp:posOffset>2526030</wp:posOffset>
            </wp:positionH>
            <wp:positionV relativeFrom="paragraph">
              <wp:posOffset>29845</wp:posOffset>
            </wp:positionV>
            <wp:extent cx="878840" cy="863600"/>
            <wp:effectExtent l="0" t="0" r="0" b="0"/>
            <wp:wrapTight wrapText="bothSides">
              <wp:wrapPolygon edited="0">
                <wp:start x="0" y="0"/>
                <wp:lineTo x="0" y="20965"/>
                <wp:lineTo x="21069" y="20965"/>
                <wp:lineTo x="21069" y="0"/>
                <wp:lineTo x="0" y="0"/>
              </wp:wrapPolygon>
            </wp:wrapTight>
            <wp:docPr id="5" name="Obraz 5" descr="Z:\LGDkwiatlnu\Stowarzyszenie Kwiat Lnu\AKTUALNY_LEADER 2014-2020\loga i herb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Dkwiatlnu\Stowarzyszenie Kwiat Lnu\AKTUALNY_LEADER 2014-2020\loga i herby\Lead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884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sz w:val="18"/>
          <w:szCs w:val="18"/>
        </w:rPr>
        <w:drawing>
          <wp:anchor distT="0" distB="0" distL="114300" distR="114300" simplePos="0" relativeHeight="251668992" behindDoc="1" locked="0" layoutInCell="1" allowOverlap="1" wp14:anchorId="7111B9CE" wp14:editId="5011FBFC">
            <wp:simplePos x="0" y="0"/>
            <wp:positionH relativeFrom="margin">
              <wp:posOffset>329565</wp:posOffset>
            </wp:positionH>
            <wp:positionV relativeFrom="margin">
              <wp:posOffset>5937885</wp:posOffset>
            </wp:positionV>
            <wp:extent cx="1212850" cy="810260"/>
            <wp:effectExtent l="0" t="0" r="0" b="0"/>
            <wp:wrapTight wrapText="bothSides">
              <wp:wrapPolygon edited="0">
                <wp:start x="0" y="0"/>
                <wp:lineTo x="0" y="21329"/>
                <wp:lineTo x="21374" y="21329"/>
                <wp:lineTo x="21374" y="0"/>
                <wp:lineTo x="0" y="0"/>
              </wp:wrapPolygon>
            </wp:wrapTight>
            <wp:docPr id="2" name="Obraz 2" descr="Z:\LGDkwiatlnu\Stowarzyszenie Kwiat Lnu\AKTUALNY_LEADER 2014-2020\loga i herb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Dkwiatlnu\Stowarzyszenie Kwiat Lnu\AKTUALNY_LEADER 2014-2020\loga i herby\flag_yellow_low.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7D30E5" w:rsidRDefault="007D30E5" w:rsidP="00757E70">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D30E5" w:rsidRDefault="007D30E5" w:rsidP="00757E70">
      <w:pPr>
        <w:spacing w:after="0" w:line="240" w:lineRule="auto"/>
        <w:jc w:val="center"/>
        <w:rPr>
          <w:rFonts w:ascii="Times New Roman" w:hAnsi="Times New Roman" w:cs="Times New Roman"/>
        </w:rPr>
      </w:pPr>
    </w:p>
    <w:p w:rsidR="007D30E5" w:rsidRDefault="007D30E5" w:rsidP="00757E70">
      <w:pPr>
        <w:spacing w:after="0" w:line="240" w:lineRule="auto"/>
        <w:jc w:val="center"/>
        <w:rPr>
          <w:rFonts w:ascii="Times New Roman" w:hAnsi="Times New Roman" w:cs="Times New Roman"/>
        </w:rPr>
      </w:pPr>
    </w:p>
    <w:p w:rsidR="007D30E5" w:rsidRDefault="007D30E5" w:rsidP="00757E70">
      <w:pPr>
        <w:spacing w:after="0" w:line="240" w:lineRule="auto"/>
        <w:jc w:val="center"/>
        <w:rPr>
          <w:rFonts w:ascii="Times New Roman" w:hAnsi="Times New Roman" w:cs="Times New Roman"/>
        </w:rPr>
      </w:pPr>
    </w:p>
    <w:p w:rsidR="007D30E5" w:rsidRDefault="007D30E5" w:rsidP="00757E70">
      <w:pPr>
        <w:spacing w:after="0" w:line="240" w:lineRule="auto"/>
        <w:jc w:val="center"/>
        <w:rPr>
          <w:rFonts w:ascii="Times New Roman" w:hAnsi="Times New Roman" w:cs="Times New Roman"/>
        </w:rPr>
      </w:pPr>
    </w:p>
    <w:p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Europejski Fundusz Rolny na rzecz Rozwoju Obszarów Wiejskich:</w:t>
      </w:r>
    </w:p>
    <w:p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Europa inwestująca w obszary wiejskie</w:t>
      </w:r>
    </w:p>
    <w:p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Projekt realizowany przez LGD Kwiat Lnu współfinansowany ze środków Unii Europejskiej</w:t>
      </w:r>
    </w:p>
    <w:p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w ramach Programu Rozwoju Obszarów Wiejskich na lata 2014-2020, osi IV LEADER, działanie 19 Wsparcie dla rozwoju lokalnego w ramach inicjatywy LEADER, poddziałanie 19.1 Wsparcie przygotowawcze.</w:t>
      </w:r>
    </w:p>
    <w:p w:rsidR="005F5E3C" w:rsidRPr="00C75C8F" w:rsidRDefault="005F5E3C" w:rsidP="005F5E3C">
      <w:pPr>
        <w:spacing w:after="0" w:line="240" w:lineRule="auto"/>
        <w:jc w:val="both"/>
        <w:rPr>
          <w:rFonts w:ascii="Times New Roman" w:hAnsi="Times New Roman" w:cs="Times New Roman"/>
        </w:rPr>
      </w:pPr>
    </w:p>
    <w:p w:rsidR="00C75C8F" w:rsidRDefault="00C75C8F" w:rsidP="00066CE2">
      <w:pPr>
        <w:spacing w:after="0" w:line="240" w:lineRule="auto"/>
        <w:jc w:val="center"/>
        <w:rPr>
          <w:rFonts w:ascii="Times New Roman" w:hAnsi="Times New Roman" w:cs="Times New Roman"/>
          <w:b/>
        </w:rPr>
      </w:pPr>
    </w:p>
    <w:p w:rsidR="00C75C8F" w:rsidRDefault="00C75C8F" w:rsidP="00066CE2">
      <w:pPr>
        <w:spacing w:after="0" w:line="240" w:lineRule="auto"/>
        <w:jc w:val="center"/>
        <w:rPr>
          <w:rFonts w:ascii="Times New Roman" w:hAnsi="Times New Roman" w:cs="Times New Roman"/>
          <w:b/>
        </w:rPr>
      </w:pPr>
    </w:p>
    <w:p w:rsidR="00C75C8F" w:rsidRDefault="00C75C8F" w:rsidP="00066CE2">
      <w:pPr>
        <w:spacing w:after="0" w:line="240" w:lineRule="auto"/>
        <w:jc w:val="center"/>
        <w:rPr>
          <w:rFonts w:ascii="Times New Roman" w:hAnsi="Times New Roman" w:cs="Times New Roman"/>
          <w:b/>
        </w:rPr>
      </w:pPr>
    </w:p>
    <w:p w:rsidR="005F5E3C" w:rsidRDefault="005F5E3C" w:rsidP="00066CE2">
      <w:pPr>
        <w:spacing w:after="0" w:line="240" w:lineRule="auto"/>
        <w:jc w:val="center"/>
        <w:rPr>
          <w:rFonts w:ascii="Times New Roman" w:hAnsi="Times New Roman" w:cs="Times New Roman"/>
          <w:b/>
        </w:rPr>
      </w:pPr>
      <w:r w:rsidRPr="00C75C8F">
        <w:rPr>
          <w:rFonts w:ascii="Times New Roman" w:hAnsi="Times New Roman" w:cs="Times New Roman"/>
          <w:b/>
        </w:rPr>
        <w:t xml:space="preserve">Lubawka, </w:t>
      </w:r>
      <w:r w:rsidR="002E23AF">
        <w:rPr>
          <w:rFonts w:ascii="Times New Roman" w:hAnsi="Times New Roman" w:cs="Times New Roman"/>
          <w:b/>
        </w:rPr>
        <w:t xml:space="preserve">grudzień </w:t>
      </w:r>
      <w:r w:rsidRPr="00C75C8F">
        <w:rPr>
          <w:rFonts w:ascii="Times New Roman" w:hAnsi="Times New Roman" w:cs="Times New Roman"/>
          <w:b/>
        </w:rPr>
        <w:t>2015</w:t>
      </w:r>
      <w:r w:rsidR="00757E70" w:rsidRPr="00C75C8F">
        <w:rPr>
          <w:rFonts w:ascii="Times New Roman" w:hAnsi="Times New Roman" w:cs="Times New Roman"/>
          <w:b/>
        </w:rPr>
        <w:t xml:space="preserve"> r</w:t>
      </w:r>
      <w:r w:rsidR="00757E70">
        <w:rPr>
          <w:rFonts w:ascii="Times New Roman" w:hAnsi="Times New Roman" w:cs="Times New Roman"/>
          <w:b/>
        </w:rPr>
        <w:t>.</w:t>
      </w:r>
    </w:p>
    <w:p w:rsidR="006E1EEC" w:rsidRPr="009A50EF" w:rsidRDefault="006518FD" w:rsidP="006E1E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(aktualizacja </w:t>
      </w:r>
      <w:r w:rsidR="00F54ED0">
        <w:rPr>
          <w:rFonts w:ascii="Times New Roman" w:hAnsi="Times New Roman" w:cs="Times New Roman"/>
          <w:b/>
          <w:sz w:val="16"/>
          <w:szCs w:val="16"/>
        </w:rPr>
        <w:t>kwiecień</w:t>
      </w:r>
      <w:bookmarkStart w:id="0" w:name="_GoBack"/>
      <w:bookmarkEnd w:id="0"/>
      <w:r>
        <w:rPr>
          <w:rFonts w:ascii="Times New Roman" w:hAnsi="Times New Roman" w:cs="Times New Roman"/>
          <w:b/>
          <w:sz w:val="16"/>
          <w:szCs w:val="16"/>
        </w:rPr>
        <w:t xml:space="preserve"> 2018</w:t>
      </w:r>
      <w:r w:rsidR="006E1EEC" w:rsidRPr="009A50EF">
        <w:rPr>
          <w:rFonts w:ascii="Times New Roman" w:hAnsi="Times New Roman" w:cs="Times New Roman"/>
          <w:b/>
          <w:sz w:val="16"/>
          <w:szCs w:val="16"/>
        </w:rPr>
        <w:t>)</w:t>
      </w:r>
    </w:p>
    <w:p w:rsidR="006E1EEC" w:rsidRDefault="006E1EEC" w:rsidP="00066CE2">
      <w:pPr>
        <w:spacing w:after="0" w:line="240" w:lineRule="auto"/>
        <w:jc w:val="center"/>
        <w:rPr>
          <w:rFonts w:ascii="Times New Roman" w:hAnsi="Times New Roman" w:cs="Times New Roman"/>
          <w:b/>
        </w:rPr>
      </w:pPr>
    </w:p>
    <w:p w:rsidR="00A11FEE" w:rsidRDefault="00A11FEE" w:rsidP="00066CE2">
      <w:pPr>
        <w:spacing w:after="0" w:line="240" w:lineRule="auto"/>
        <w:jc w:val="center"/>
        <w:rPr>
          <w:rFonts w:ascii="Times New Roman" w:hAnsi="Times New Roman" w:cs="Times New Roman"/>
          <w:b/>
        </w:rPr>
      </w:pPr>
    </w:p>
    <w:p w:rsidR="00A11FEE" w:rsidRDefault="00A11FEE" w:rsidP="00066CE2">
      <w:pPr>
        <w:spacing w:after="0" w:line="240" w:lineRule="auto"/>
        <w:jc w:val="center"/>
        <w:rPr>
          <w:rFonts w:ascii="Times New Roman" w:hAnsi="Times New Roman" w:cs="Times New Roman"/>
          <w:b/>
        </w:rPr>
      </w:pPr>
    </w:p>
    <w:p w:rsidR="00C75C8F" w:rsidRDefault="00C75C8F" w:rsidP="00066CE2">
      <w:pPr>
        <w:spacing w:after="0" w:line="240" w:lineRule="auto"/>
        <w:jc w:val="center"/>
        <w:rPr>
          <w:rFonts w:ascii="Times New Roman" w:hAnsi="Times New Roman" w:cs="Times New Roman"/>
          <w:b/>
        </w:rPr>
      </w:pPr>
    </w:p>
    <w:p w:rsidR="00C75C8F" w:rsidRPr="00E87A5F" w:rsidRDefault="00C75C8F" w:rsidP="00C75C8F">
      <w:pPr>
        <w:spacing w:after="0" w:line="240" w:lineRule="auto"/>
        <w:rPr>
          <w:rFonts w:ascii="Times New Roman" w:hAnsi="Times New Roman" w:cs="Times New Roman"/>
          <w:b/>
        </w:rPr>
      </w:pPr>
    </w:p>
    <w:bookmarkStart w:id="1" w:name="_Toc439184036" w:displacedByCustomXml="next"/>
    <w:sdt>
      <w:sdtPr>
        <w:rPr>
          <w:rFonts w:ascii="Times New Roman" w:eastAsiaTheme="minorHAnsi" w:hAnsi="Times New Roman" w:cstheme="minorBidi"/>
          <w:b w:val="0"/>
          <w:bCs w:val="0"/>
          <w:color w:val="auto"/>
          <w:kern w:val="0"/>
          <w:sz w:val="22"/>
          <w:szCs w:val="22"/>
          <w:lang w:eastAsia="en-US"/>
        </w:rPr>
        <w:id w:val="33549466"/>
        <w:docPartObj>
          <w:docPartGallery w:val="Table of Contents"/>
          <w:docPartUnique/>
        </w:docPartObj>
      </w:sdtPr>
      <w:sdtEndPr>
        <w:rPr>
          <w:rFonts w:eastAsiaTheme="minorEastAsia"/>
          <w:lang w:eastAsia="pl-PL"/>
        </w:rPr>
      </w:sdtEndPr>
      <w:sdtContent>
        <w:bookmarkEnd w:id="1" w:displacedByCustomXml="prev"/>
        <w:p w:rsidR="005F5E3C" w:rsidRPr="00E87A5F" w:rsidRDefault="005F5E3C" w:rsidP="005F5E3C">
          <w:pPr>
            <w:pStyle w:val="Nagwekspisutreci"/>
            <w:rPr>
              <w:rFonts w:ascii="Times New Roman" w:hAnsi="Times New Roman"/>
              <w:sz w:val="22"/>
              <w:szCs w:val="22"/>
            </w:rPr>
          </w:pPr>
          <w:r w:rsidRPr="00E87A5F">
            <w:rPr>
              <w:rFonts w:ascii="Times New Roman" w:hAnsi="Times New Roman"/>
              <w:sz w:val="22"/>
              <w:szCs w:val="22"/>
            </w:rPr>
            <w:t>Spis treści</w:t>
          </w:r>
        </w:p>
        <w:p w:rsidR="005F5E3C" w:rsidRPr="00E87A5F" w:rsidRDefault="004F4A74" w:rsidP="005F5E3C">
          <w:pPr>
            <w:pStyle w:val="Spistreci1"/>
            <w:tabs>
              <w:tab w:val="right" w:leader="dot" w:pos="10478"/>
            </w:tabs>
            <w:rPr>
              <w:rFonts w:ascii="Times New Roman" w:hAnsi="Times New Roman" w:cs="Times New Roman"/>
              <w:noProof/>
            </w:rPr>
          </w:pPr>
          <w:r w:rsidRPr="00E87A5F">
            <w:rPr>
              <w:rFonts w:ascii="Times New Roman" w:hAnsi="Times New Roman" w:cs="Times New Roman"/>
            </w:rPr>
            <w:fldChar w:fldCharType="begin"/>
          </w:r>
          <w:r w:rsidR="005F5E3C" w:rsidRPr="00E87A5F">
            <w:rPr>
              <w:rFonts w:ascii="Times New Roman" w:hAnsi="Times New Roman" w:cs="Times New Roman"/>
            </w:rPr>
            <w:instrText xml:space="preserve"> TOC \o "1-3" \h \z \u </w:instrText>
          </w:r>
          <w:r w:rsidRPr="00E87A5F">
            <w:rPr>
              <w:rFonts w:ascii="Times New Roman" w:hAnsi="Times New Roman" w:cs="Times New Roman"/>
            </w:rPr>
            <w:fldChar w:fldCharType="separate"/>
          </w:r>
        </w:p>
        <w:p w:rsidR="005F5E3C" w:rsidRPr="00E87A5F" w:rsidRDefault="00E86217" w:rsidP="005F5E3C">
          <w:pPr>
            <w:pStyle w:val="Spistreci1"/>
            <w:tabs>
              <w:tab w:val="right" w:leader="dot" w:pos="10478"/>
            </w:tabs>
            <w:rPr>
              <w:rFonts w:ascii="Times New Roman" w:hAnsi="Times New Roman" w:cs="Times New Roman"/>
              <w:noProof/>
            </w:rPr>
          </w:pPr>
          <w:hyperlink w:anchor="_Toc439184037" w:history="1">
            <w:r w:rsidR="005F5E3C" w:rsidRPr="00E87A5F">
              <w:rPr>
                <w:rStyle w:val="Hipercze"/>
                <w:rFonts w:ascii="Times New Roman" w:hAnsi="Times New Roman" w:cs="Times New Roman"/>
                <w:noProof/>
              </w:rPr>
              <w:t>Rozdział I Charakterystyka LGD</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_Toc439184037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4</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46" w:history="1">
            <w:r w:rsidR="005F5E3C" w:rsidRPr="00E87A5F">
              <w:rPr>
                <w:rStyle w:val="Hipercze"/>
                <w:rFonts w:ascii="Times New Roman" w:hAnsi="Times New Roman" w:cs="Times New Roman"/>
                <w:noProof/>
              </w:rPr>
              <w:t>Rozdział II Partycypacyjny charakter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8</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47" w:history="1">
            <w:r w:rsidR="005F5E3C" w:rsidRPr="00E87A5F">
              <w:rPr>
                <w:rStyle w:val="Hipercze"/>
                <w:rFonts w:ascii="Times New Roman" w:hAnsi="Times New Roman" w:cs="Times New Roman"/>
                <w:noProof/>
              </w:rPr>
              <w:t>Rozdział III Diagnoza – opis obszaru i ludności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10</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72" w:history="1">
            <w:r w:rsidR="005F5E3C" w:rsidRPr="00E87A5F">
              <w:rPr>
                <w:rStyle w:val="Hipercze"/>
                <w:rFonts w:ascii="Times New Roman" w:hAnsi="Times New Roman" w:cs="Times New Roman"/>
                <w:noProof/>
              </w:rPr>
              <w:t>Rozdział IV Analiza SWOT</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25</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73" w:history="1">
            <w:r w:rsidR="0035458B">
              <w:rPr>
                <w:rStyle w:val="Hipercze"/>
                <w:rFonts w:ascii="Times New Roman" w:hAnsi="Times New Roman" w:cs="Times New Roman"/>
                <w:noProof/>
              </w:rPr>
              <w:t>Rozdział</w:t>
            </w:r>
            <w:r w:rsidR="005F5E3C" w:rsidRPr="00E87A5F">
              <w:rPr>
                <w:rStyle w:val="Hipercze"/>
                <w:rFonts w:ascii="Times New Roman" w:hAnsi="Times New Roman" w:cs="Times New Roman"/>
                <w:noProof/>
              </w:rPr>
              <w:t xml:space="preserve"> V Cele i wskaźniki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29</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74" w:history="1">
            <w:r w:rsidR="005F5E3C" w:rsidRPr="00E87A5F">
              <w:rPr>
                <w:rStyle w:val="Hipercze"/>
                <w:rFonts w:ascii="Times New Roman" w:hAnsi="Times New Roman" w:cs="Times New Roman"/>
                <w:noProof/>
              </w:rPr>
              <w:t>Rozdział VI Sposób oceny i wyboru operacji oraz sposób ustanawiania kryteriów wyboru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46</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75" w:history="1">
            <w:r w:rsidR="005F5E3C" w:rsidRPr="00E87A5F">
              <w:rPr>
                <w:rStyle w:val="Hipercze"/>
                <w:rFonts w:ascii="Times New Roman" w:hAnsi="Times New Roman" w:cs="Times New Roman"/>
                <w:noProof/>
              </w:rPr>
              <w:t>R</w:t>
            </w:r>
            <w:r w:rsidR="0035458B">
              <w:rPr>
                <w:rStyle w:val="Hipercze"/>
                <w:rFonts w:ascii="Times New Roman" w:hAnsi="Times New Roman" w:cs="Times New Roman"/>
                <w:noProof/>
              </w:rPr>
              <w:t>ozdział</w:t>
            </w:r>
            <w:r w:rsidR="005F5E3C" w:rsidRPr="00E87A5F">
              <w:rPr>
                <w:rStyle w:val="Hipercze"/>
                <w:rFonts w:ascii="Times New Roman" w:hAnsi="Times New Roman" w:cs="Times New Roman"/>
                <w:noProof/>
              </w:rPr>
              <w:t xml:space="preserve"> VII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53</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76" w:history="1">
            <w:r w:rsidR="005F5E3C" w:rsidRPr="00E87A5F">
              <w:rPr>
                <w:rStyle w:val="Hipercze"/>
                <w:rFonts w:ascii="Times New Roman" w:hAnsi="Times New Roman" w:cs="Times New Roman"/>
                <w:noProof/>
              </w:rPr>
              <w:t>Rozdział VIII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54</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77" w:history="1">
            <w:r w:rsidR="005F5E3C" w:rsidRPr="00E87A5F">
              <w:rPr>
                <w:rStyle w:val="Hipercze"/>
                <w:rFonts w:ascii="Times New Roman" w:hAnsi="Times New Roman" w:cs="Times New Roman"/>
                <w:noProof/>
              </w:rPr>
              <w:t>Rozdział IX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56</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78" w:history="1">
            <w:r w:rsidR="0035458B">
              <w:rPr>
                <w:rStyle w:val="Hipercze"/>
                <w:rFonts w:ascii="Times New Roman" w:hAnsi="Times New Roman" w:cs="Times New Roman"/>
                <w:noProof/>
              </w:rPr>
              <w:t xml:space="preserve">Rozdział X </w:t>
            </w:r>
            <w:r w:rsidR="005F5E3C" w:rsidRPr="00E87A5F">
              <w:rPr>
                <w:rStyle w:val="Hipercze"/>
                <w:rFonts w:ascii="Times New Roman" w:hAnsi="Times New Roman" w:cs="Times New Roman"/>
                <w:noProof/>
              </w:rPr>
              <w:t xml:space="preserve"> Zintegrowanie</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_Toc439184078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57</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79" w:history="1">
            <w:r w:rsidR="005F5E3C" w:rsidRPr="00E87A5F">
              <w:rPr>
                <w:rStyle w:val="Hipercze"/>
                <w:rFonts w:ascii="Times New Roman" w:hAnsi="Times New Roman" w:cs="Times New Roman"/>
                <w:noProof/>
              </w:rPr>
              <w:t>Rozdział XI Monitoring i ewaluacja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_Toc439184079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62</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1"/>
            <w:tabs>
              <w:tab w:val="right" w:leader="dot" w:pos="10478"/>
            </w:tabs>
            <w:rPr>
              <w:rFonts w:ascii="Times New Roman" w:hAnsi="Times New Roman" w:cs="Times New Roman"/>
              <w:noProof/>
            </w:rPr>
          </w:pPr>
          <w:hyperlink w:anchor="_Toc439184080" w:history="1">
            <w:r w:rsidR="005F5E3C" w:rsidRPr="00E87A5F">
              <w:rPr>
                <w:rStyle w:val="Hipercze"/>
                <w:rFonts w:ascii="Times New Roman" w:eastAsia="Times New Roman" w:hAnsi="Times New Roman" w:cs="Times New Roman"/>
                <w:noProof/>
                <w:kern w:val="1"/>
                <w:lang w:eastAsia="ar-SA"/>
              </w:rPr>
              <w:t>Rozdział XII Strategiczna ocena oddziaływania na środowisko</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_Toc439184080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62</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2"/>
            <w:tabs>
              <w:tab w:val="right" w:leader="dot" w:pos="10478"/>
            </w:tabs>
            <w:rPr>
              <w:rFonts w:ascii="Times New Roman" w:hAnsi="Times New Roman" w:cs="Times New Roman"/>
              <w:noProof/>
            </w:rPr>
          </w:pPr>
          <w:hyperlink w:anchor="_Toc439184081" w:history="1">
            <w:r w:rsidR="005F5E3C" w:rsidRPr="00E87A5F">
              <w:rPr>
                <w:rStyle w:val="Hipercze"/>
                <w:rFonts w:ascii="Times New Roman" w:eastAsia="Times New Roman" w:hAnsi="Times New Roman" w:cs="Times New Roman"/>
                <w:noProof/>
                <w:lang w:eastAsia="ar-SA"/>
              </w:rPr>
              <w:t>Wykaz wykorzystanej literatury:</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_Toc439184081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62</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2"/>
            <w:tabs>
              <w:tab w:val="right" w:leader="dot" w:pos="10478"/>
            </w:tabs>
            <w:rPr>
              <w:rFonts w:ascii="Times New Roman" w:hAnsi="Times New Roman" w:cs="Times New Roman"/>
              <w:noProof/>
            </w:rPr>
          </w:pPr>
          <w:hyperlink w:anchor="_Toc439184082" w:history="1">
            <w:r w:rsidR="005F5E3C" w:rsidRPr="00E87A5F">
              <w:rPr>
                <w:rStyle w:val="Hipercze"/>
                <w:rFonts w:ascii="Times New Roman" w:hAnsi="Times New Roman" w:cs="Times New Roman"/>
                <w:noProof/>
              </w:rPr>
              <w:t>Załączniki do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3"/>
            <w:tabs>
              <w:tab w:val="right" w:leader="dot" w:pos="10478"/>
            </w:tabs>
            <w:rPr>
              <w:rFonts w:ascii="Times New Roman" w:hAnsi="Times New Roman" w:cs="Times New Roman"/>
              <w:noProof/>
            </w:rPr>
          </w:pPr>
          <w:hyperlink w:anchor="_Toc439184083" w:history="1">
            <w:r w:rsidR="005F5E3C" w:rsidRPr="00E87A5F">
              <w:rPr>
                <w:rStyle w:val="Hipercze"/>
                <w:rFonts w:ascii="Times New Roman" w:eastAsia="Times New Roman" w:hAnsi="Times New Roman" w:cs="Times New Roman"/>
                <w:noProof/>
              </w:rPr>
              <w:t>Załącznik nr 1 Procedura aktualizacji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3"/>
            <w:tabs>
              <w:tab w:val="right" w:leader="dot" w:pos="10478"/>
            </w:tabs>
            <w:rPr>
              <w:rFonts w:ascii="Times New Roman" w:hAnsi="Times New Roman" w:cs="Times New Roman"/>
              <w:noProof/>
            </w:rPr>
          </w:pPr>
          <w:hyperlink w:anchor="_Toc439184084" w:history="1">
            <w:r w:rsidR="005F5E3C" w:rsidRPr="00E87A5F">
              <w:rPr>
                <w:rStyle w:val="Hipercze"/>
                <w:rFonts w:ascii="Times New Roman" w:hAnsi="Times New Roman" w:cs="Times New Roman"/>
                <w:noProof/>
              </w:rPr>
              <w:t>Załącznik nr 2 Procedury dokonywania ewaluacji i monitoringu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3"/>
            <w:tabs>
              <w:tab w:val="right" w:leader="dot" w:pos="10478"/>
            </w:tabs>
            <w:rPr>
              <w:rFonts w:ascii="Times New Roman" w:hAnsi="Times New Roman" w:cs="Times New Roman"/>
              <w:noProof/>
            </w:rPr>
          </w:pPr>
          <w:hyperlink w:anchor="_Toc439184085" w:history="1">
            <w:r w:rsidR="005F5E3C" w:rsidRPr="00E87A5F">
              <w:rPr>
                <w:rStyle w:val="Hipercze"/>
                <w:rFonts w:ascii="Times New Roman" w:hAnsi="Times New Roman" w:cs="Times New Roman"/>
                <w:noProof/>
              </w:rPr>
              <w:t>Załącznik nr 3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67</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3"/>
            <w:tabs>
              <w:tab w:val="right" w:leader="dot" w:pos="10478"/>
            </w:tabs>
            <w:rPr>
              <w:rFonts w:ascii="Times New Roman" w:hAnsi="Times New Roman" w:cs="Times New Roman"/>
              <w:noProof/>
            </w:rPr>
          </w:pPr>
          <w:hyperlink w:anchor="_Toc439184086" w:history="1">
            <w:r w:rsidR="005F5E3C" w:rsidRPr="00E87A5F">
              <w:rPr>
                <w:rStyle w:val="Hipercze"/>
                <w:rFonts w:ascii="Times New Roman" w:hAnsi="Times New Roman" w:cs="Times New Roman"/>
                <w:noProof/>
              </w:rPr>
              <w:t>Załącznik nr 4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75</w:t>
            </w:r>
            <w:r w:rsidR="004F4A74" w:rsidRPr="00E87A5F">
              <w:rPr>
                <w:rFonts w:ascii="Times New Roman" w:hAnsi="Times New Roman" w:cs="Times New Roman"/>
                <w:noProof/>
                <w:webHidden/>
              </w:rPr>
              <w:fldChar w:fldCharType="end"/>
            </w:r>
          </w:hyperlink>
        </w:p>
        <w:p w:rsidR="005F5E3C" w:rsidRPr="00E87A5F" w:rsidRDefault="00E86217" w:rsidP="005F5E3C">
          <w:pPr>
            <w:pStyle w:val="Spistreci3"/>
            <w:tabs>
              <w:tab w:val="right" w:leader="dot" w:pos="10478"/>
            </w:tabs>
            <w:rPr>
              <w:rFonts w:ascii="Times New Roman" w:hAnsi="Times New Roman" w:cs="Times New Roman"/>
              <w:noProof/>
            </w:rPr>
          </w:pPr>
          <w:hyperlink w:anchor="_Toc439184087" w:history="1">
            <w:r w:rsidR="005F5E3C" w:rsidRPr="00E87A5F">
              <w:rPr>
                <w:rStyle w:val="Hipercze"/>
                <w:rFonts w:ascii="Times New Roman" w:hAnsi="Times New Roman" w:cs="Times New Roman"/>
                <w:noProof/>
              </w:rPr>
              <w:t>Załącznik nr 5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6518FD">
              <w:rPr>
                <w:rFonts w:ascii="Times New Roman" w:hAnsi="Times New Roman" w:cs="Times New Roman"/>
                <w:noProof/>
                <w:webHidden/>
              </w:rPr>
              <w:t>76</w:t>
            </w:r>
            <w:r w:rsidR="004F4A74" w:rsidRPr="00E87A5F">
              <w:rPr>
                <w:rFonts w:ascii="Times New Roman" w:hAnsi="Times New Roman" w:cs="Times New Roman"/>
                <w:noProof/>
                <w:webHidden/>
              </w:rPr>
              <w:fldChar w:fldCharType="end"/>
            </w:r>
          </w:hyperlink>
        </w:p>
        <w:p w:rsidR="005F5E3C" w:rsidRPr="00E87A5F" w:rsidRDefault="004F4A74" w:rsidP="005F5E3C">
          <w:pPr>
            <w:rPr>
              <w:rFonts w:ascii="Times New Roman" w:hAnsi="Times New Roman" w:cs="Times New Roman"/>
            </w:rPr>
          </w:pPr>
          <w:r w:rsidRPr="00E87A5F">
            <w:rPr>
              <w:rFonts w:ascii="Times New Roman" w:hAnsi="Times New Roman" w:cs="Times New Roman"/>
            </w:rPr>
            <w:fldChar w:fldCharType="end"/>
          </w:r>
        </w:p>
      </w:sdtContent>
    </w:sdt>
    <w:p w:rsidR="005F5E3C" w:rsidRPr="00E87A5F" w:rsidRDefault="005F5E3C" w:rsidP="005F5E3C">
      <w:pPr>
        <w:spacing w:after="0" w:line="240" w:lineRule="auto"/>
        <w:jc w:val="both"/>
        <w:rPr>
          <w:rFonts w:ascii="Times New Roman" w:hAnsi="Times New Roman" w:cs="Times New Roman"/>
          <w:b/>
          <w:color w:val="000000"/>
        </w:rPr>
      </w:pPr>
    </w:p>
    <w:p w:rsidR="00BF0361" w:rsidRPr="00E87A5F" w:rsidRDefault="005F5E3C" w:rsidP="005F5E3C">
      <w:pPr>
        <w:rPr>
          <w:rFonts w:ascii="Times New Roman" w:hAnsi="Times New Roman" w:cs="Times New Roman"/>
          <w:b/>
          <w:color w:val="000000"/>
        </w:rPr>
      </w:pPr>
      <w:r w:rsidRPr="00E87A5F">
        <w:rPr>
          <w:rFonts w:ascii="Times New Roman" w:hAnsi="Times New Roman" w:cs="Times New Roman"/>
          <w:b/>
          <w:color w:val="000000"/>
        </w:rPr>
        <w:br w:type="page"/>
      </w:r>
    </w:p>
    <w:p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lastRenderedPageBreak/>
        <w:t>Zespół Konsultantów:</w:t>
      </w:r>
    </w:p>
    <w:p w:rsidR="005F5E3C" w:rsidRPr="00E87A5F" w:rsidRDefault="005F5E3C" w:rsidP="005F5E3C">
      <w:pPr>
        <w:spacing w:after="0" w:line="240" w:lineRule="auto"/>
        <w:jc w:val="both"/>
        <w:rPr>
          <w:rFonts w:ascii="Times New Roman" w:hAnsi="Times New Roman" w:cs="Times New Roman"/>
          <w:b/>
          <w:color w:val="000000"/>
        </w:rPr>
      </w:pP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Irena Krukowska-Szopa</w:t>
      </w: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Arkadiusz Wierciński</w:t>
      </w:r>
    </w:p>
    <w:p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xml:space="preserve"> </w:t>
      </w:r>
    </w:p>
    <w:p w:rsidR="005F5E3C" w:rsidRPr="00E87A5F" w:rsidRDefault="00DC2765" w:rsidP="005F5E3C">
      <w:pPr>
        <w:spacing w:after="0" w:line="240" w:lineRule="auto"/>
        <w:jc w:val="both"/>
        <w:rPr>
          <w:rFonts w:ascii="Times New Roman" w:hAnsi="Times New Roman" w:cs="Times New Roman"/>
          <w:b/>
          <w:color w:val="FF0000"/>
        </w:rPr>
      </w:pPr>
      <w:r>
        <w:rPr>
          <w:rFonts w:ascii="Times New Roman" w:hAnsi="Times New Roman" w:cs="Times New Roman"/>
          <w:b/>
          <w:noProof/>
          <w:color w:val="FF0000"/>
        </w:rPr>
        <w:drawing>
          <wp:anchor distT="0" distB="0" distL="114300" distR="114300" simplePos="0" relativeHeight="251647488" behindDoc="1" locked="0" layoutInCell="1" allowOverlap="1" wp14:anchorId="4C3E280D" wp14:editId="07936281">
            <wp:simplePos x="0" y="0"/>
            <wp:positionH relativeFrom="column">
              <wp:posOffset>4193540</wp:posOffset>
            </wp:positionH>
            <wp:positionV relativeFrom="paragraph">
              <wp:posOffset>48260</wp:posOffset>
            </wp:positionV>
            <wp:extent cx="1200150" cy="476250"/>
            <wp:effectExtent l="19050" t="0" r="0" b="0"/>
            <wp:wrapTight wrapText="bothSides">
              <wp:wrapPolygon edited="0">
                <wp:start x="-343" y="0"/>
                <wp:lineTo x="-343" y="20736"/>
                <wp:lineTo x="21600" y="20736"/>
                <wp:lineTo x="21600" y="0"/>
                <wp:lineTo x="-343" y="0"/>
              </wp:wrapPolygon>
            </wp:wrapTight>
            <wp:docPr id="6" name="Obraz 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wiat Lnu\Desktop\logo_lgd_kwiat_lnu_niebieski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anchor>
        </w:drawing>
      </w:r>
    </w:p>
    <w:p w:rsidR="005F5E3C"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Opracowanie:</w:t>
      </w:r>
    </w:p>
    <w:p w:rsidR="00DC2765" w:rsidRDefault="00DC2765" w:rsidP="005F5E3C">
      <w:pPr>
        <w:spacing w:after="0" w:line="240" w:lineRule="auto"/>
        <w:jc w:val="both"/>
        <w:rPr>
          <w:rFonts w:ascii="Times New Roman" w:hAnsi="Times New Roman" w:cs="Times New Roman"/>
          <w:b/>
          <w:color w:val="000000"/>
        </w:rPr>
      </w:pPr>
    </w:p>
    <w:p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 xml:space="preserve">Bożena </w:t>
      </w:r>
      <w:proofErr w:type="spellStart"/>
      <w:r w:rsidRPr="00DC2765">
        <w:rPr>
          <w:rFonts w:ascii="Times New Roman" w:hAnsi="Times New Roman" w:cs="Times New Roman"/>
          <w:color w:val="000000"/>
        </w:rPr>
        <w:t>Pełdiak</w:t>
      </w:r>
      <w:proofErr w:type="spellEnd"/>
    </w:p>
    <w:p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Joanna Cebula</w:t>
      </w:r>
    </w:p>
    <w:p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Kamila Kulikowska</w:t>
      </w:r>
    </w:p>
    <w:p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 xml:space="preserve">Sławomira </w:t>
      </w:r>
      <w:proofErr w:type="spellStart"/>
      <w:r w:rsidRPr="00DC2765">
        <w:rPr>
          <w:rFonts w:ascii="Times New Roman" w:hAnsi="Times New Roman" w:cs="Times New Roman"/>
          <w:color w:val="000000"/>
        </w:rPr>
        <w:t>Klijanowicz</w:t>
      </w:r>
      <w:proofErr w:type="spellEnd"/>
      <w:r w:rsidRPr="00DC2765">
        <w:rPr>
          <w:rFonts w:ascii="Times New Roman" w:hAnsi="Times New Roman" w:cs="Times New Roman"/>
          <w:color w:val="000000"/>
        </w:rPr>
        <w:t>-Marciniec</w:t>
      </w:r>
    </w:p>
    <w:p w:rsidR="005F5E3C" w:rsidRPr="00E87A5F" w:rsidRDefault="005F5E3C" w:rsidP="005F5E3C">
      <w:pPr>
        <w:spacing w:after="0" w:line="240" w:lineRule="auto"/>
        <w:jc w:val="both"/>
        <w:rPr>
          <w:rFonts w:ascii="Times New Roman" w:hAnsi="Times New Roman" w:cs="Times New Roman"/>
          <w:b/>
          <w:color w:val="000000"/>
        </w:rPr>
      </w:pP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Stowarzyszenie Lokalna Grupa Działania Kwiat Lnu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ul. Dworcowa 33</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58-420 Lubawka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tel./fax 75 74 11 804</w:t>
      </w:r>
    </w:p>
    <w:p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email: biuro@kwiatlnu.eu </w:t>
      </w:r>
    </w:p>
    <w:p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www: http://www.kwiatlnu.eu/ </w:t>
      </w:r>
    </w:p>
    <w:p w:rsidR="005F5E3C" w:rsidRPr="00E87A5F" w:rsidRDefault="005F5E3C" w:rsidP="005F5E3C">
      <w:pPr>
        <w:spacing w:after="0" w:line="240" w:lineRule="auto"/>
        <w:jc w:val="both"/>
        <w:rPr>
          <w:rFonts w:ascii="Times New Roman" w:hAnsi="Times New Roman" w:cs="Times New Roman"/>
          <w:b/>
          <w:color w:val="000000"/>
          <w:lang w:val="en-US"/>
        </w:rPr>
      </w:pPr>
    </w:p>
    <w:p w:rsidR="005F5E3C" w:rsidRPr="00E87A5F" w:rsidRDefault="005F5E3C" w:rsidP="005F5E3C">
      <w:pPr>
        <w:spacing w:after="0" w:line="240" w:lineRule="auto"/>
        <w:jc w:val="both"/>
        <w:rPr>
          <w:rFonts w:ascii="Times New Roman" w:hAnsi="Times New Roman" w:cs="Times New Roman"/>
          <w:b/>
          <w:color w:val="FF0000"/>
          <w:lang w:val="en-US"/>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Szanowni Państwo! </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120" w:line="240" w:lineRule="auto"/>
        <w:ind w:firstLine="709"/>
        <w:jc w:val="both"/>
        <w:rPr>
          <w:rFonts w:ascii="Times New Roman" w:hAnsi="Times New Roman" w:cs="Times New Roman"/>
        </w:rPr>
      </w:pPr>
      <w:r w:rsidRPr="00E87A5F">
        <w:rPr>
          <w:rFonts w:ascii="Times New Roman" w:hAnsi="Times New Roman" w:cs="Times New Roman"/>
        </w:rPr>
        <w:t xml:space="preserve">Z satysfakcją przedstawiamy Państwu Lokalną Strategię Rozwoju  przygotowaną w ramach działań Leader Programu Rozwoju Obszarów Wiejskich na lata 2014-2020 dla gmin: Boguszów-Gorce, Czarny Bór, Kamienna Góra, Lubawka, Marciszów, Mieroszów, Stare Bogaczowice oraz Szczawno-Zdrój. Niniejszy dokument to rezultat kilkumiesięcznej, intensywnej pracy członków Stowarzyszenia LGD Kwiat Lnu, mieszkańców i przedstawicieli gmin.  </w:t>
      </w:r>
    </w:p>
    <w:p w:rsidR="005F5E3C" w:rsidRPr="00E87A5F" w:rsidRDefault="005F5E3C" w:rsidP="005F5E3C">
      <w:pPr>
        <w:spacing w:after="0" w:line="240" w:lineRule="auto"/>
        <w:jc w:val="both"/>
        <w:rPr>
          <w:rFonts w:ascii="Times New Roman" w:hAnsi="Times New Roman" w:cs="Times New Roman"/>
          <w:u w:val="single"/>
        </w:rPr>
      </w:pPr>
      <w:r w:rsidRPr="00E87A5F">
        <w:rPr>
          <w:rFonts w:ascii="Times New Roman" w:hAnsi="Times New Roman" w:cs="Times New Roman"/>
          <w:u w:val="single"/>
        </w:rPr>
        <w:t xml:space="preserve">Strategia zbudowana jest wokół </w:t>
      </w:r>
      <w:r w:rsidRPr="00E87A5F">
        <w:rPr>
          <w:rFonts w:ascii="Times New Roman" w:hAnsi="Times New Roman" w:cs="Times New Roman"/>
          <w:b/>
          <w:u w:val="single"/>
        </w:rPr>
        <w:t xml:space="preserve">jednego celu głównego </w:t>
      </w:r>
      <w:r w:rsidRPr="00E87A5F">
        <w:rPr>
          <w:rFonts w:ascii="Times New Roman" w:hAnsi="Times New Roman" w:cs="Times New Roman"/>
          <w:u w:val="single"/>
        </w:rPr>
        <w:t>oraz trzech celów szczegółowych:</w:t>
      </w:r>
    </w:p>
    <w:p w:rsidR="005F5E3C" w:rsidRPr="00E87A5F" w:rsidRDefault="005F5E3C" w:rsidP="005F5E3C">
      <w:pPr>
        <w:pStyle w:val="Akapitzlist"/>
        <w:numPr>
          <w:ilvl w:val="0"/>
          <w:numId w:val="1"/>
        </w:numPr>
        <w:suppressAutoHyphens w:val="0"/>
        <w:spacing w:after="0" w:line="240" w:lineRule="auto"/>
        <w:jc w:val="both"/>
        <w:rPr>
          <w:rFonts w:ascii="Times New Roman" w:hAnsi="Times New Roman" w:cs="Times New Roman"/>
        </w:rPr>
      </w:pPr>
      <w:r w:rsidRPr="00E87A5F">
        <w:rPr>
          <w:rFonts w:ascii="Times New Roman" w:hAnsi="Times New Roman" w:cs="Times New Roman"/>
        </w:rPr>
        <w:t xml:space="preserve">Cel główny: 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gospodarczy oparty na wykorzystaniu zasobów obszaru z poszanowaniem środowiska i przeciwdziałaniu zmianom klimatycznym Lokalnej Grupa Działania Kwiat Lnu do 2022 (23) r.</w:t>
      </w:r>
    </w:p>
    <w:p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Cele szczegółowe:</w:t>
      </w:r>
    </w:p>
    <w:p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p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1.2. Aktywna, zintegrowana i świadoma ekologicznie społeczność lokalna.</w:t>
      </w:r>
    </w:p>
    <w:p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p w:rsidR="005F5E3C" w:rsidRPr="00E87A5F" w:rsidRDefault="005F5E3C" w:rsidP="005F5E3C">
      <w:pPr>
        <w:pStyle w:val="Akapitzlist"/>
        <w:suppressAutoHyphens w:val="0"/>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Szeroki wachlarz opracowanych działań i zadań będzie realizowało powołane w tym celu Stowarzyszenie Lokalna Grupa Działania Kwiat Lnu. </w:t>
      </w:r>
    </w:p>
    <w:p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Zachęcamy Państwa do zaangażowania się w realizację zapisanych w Strategii przedsięwzięć oraz pomysłów. Tylko z udziałem mieszkańców tego obszaru Strategia ma szansę wpłynąć na rozwój naszej ziemi. </w:t>
      </w:r>
    </w:p>
    <w:p w:rsidR="005F5E3C" w:rsidRPr="00E87A5F" w:rsidRDefault="005F5E3C" w:rsidP="005F5E3C">
      <w:pPr>
        <w:spacing w:after="0" w:line="240" w:lineRule="auto"/>
        <w:jc w:val="both"/>
        <w:rPr>
          <w:rFonts w:ascii="Times New Roman" w:hAnsi="Times New Roman" w:cs="Times New Roman"/>
        </w:rPr>
      </w:pPr>
    </w:p>
    <w:p w:rsidR="005F5E3C" w:rsidRPr="00D80001" w:rsidRDefault="00D80001" w:rsidP="005F5E3C">
      <w:pPr>
        <w:spacing w:after="0" w:line="240" w:lineRule="auto"/>
        <w:jc w:val="both"/>
        <w:rPr>
          <w:rFonts w:ascii="Times New Roman" w:hAnsi="Times New Roman" w:cs="Times New Roman"/>
          <w:b/>
        </w:rPr>
      </w:pPr>
      <w:r w:rsidRPr="00D80001">
        <w:rPr>
          <w:rFonts w:ascii="Times New Roman" w:hAnsi="Times New Roman" w:cs="Times New Roman"/>
          <w:b/>
        </w:rPr>
        <w:t xml:space="preserve">Serdeczne podziękowania dla wszystkich Mieszkańców obszaru Lokalnej Grupy Działania za aktywne </w:t>
      </w:r>
      <w:r>
        <w:rPr>
          <w:rFonts w:ascii="Times New Roman" w:hAnsi="Times New Roman" w:cs="Times New Roman"/>
          <w:b/>
        </w:rPr>
        <w:t>uczestnictwo w tworzeniu LSR!</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right"/>
        <w:rPr>
          <w:rFonts w:ascii="Times New Roman" w:hAnsi="Times New Roman" w:cs="Times New Roman"/>
          <w:b/>
        </w:rPr>
      </w:pPr>
      <w:r w:rsidRPr="00E87A5F">
        <w:rPr>
          <w:rFonts w:ascii="Times New Roman" w:hAnsi="Times New Roman" w:cs="Times New Roman"/>
          <w:b/>
        </w:rPr>
        <w:t>Rada i Zarząd Lokalnej Grupy Działania</w:t>
      </w:r>
    </w:p>
    <w:p w:rsidR="005F5E3C" w:rsidRPr="00E87A5F" w:rsidRDefault="005F5E3C" w:rsidP="005F5E3C">
      <w:pPr>
        <w:spacing w:after="0" w:line="240" w:lineRule="auto"/>
        <w:jc w:val="both"/>
        <w:rPr>
          <w:rFonts w:ascii="Times New Roman" w:hAnsi="Times New Roman" w:cs="Times New Roman"/>
          <w:b/>
        </w:rPr>
      </w:pPr>
    </w:p>
    <w:p w:rsidR="005F5E3C" w:rsidRPr="00E87A5F" w:rsidRDefault="005F5E3C" w:rsidP="005F5E3C">
      <w:pPr>
        <w:pStyle w:val="Nagwekspisutreci"/>
        <w:spacing w:line="240" w:lineRule="auto"/>
        <w:jc w:val="both"/>
        <w:rPr>
          <w:rFonts w:ascii="Times New Roman" w:hAnsi="Times New Roman"/>
          <w:color w:val="1F497D" w:themeColor="text2"/>
          <w:sz w:val="22"/>
          <w:szCs w:val="22"/>
        </w:rPr>
      </w:pPr>
    </w:p>
    <w:p w:rsidR="005F5E3C" w:rsidRPr="00E87A5F" w:rsidRDefault="005F5E3C" w:rsidP="005F5E3C">
      <w:pPr>
        <w:pStyle w:val="Nagwek1"/>
        <w:spacing w:line="240" w:lineRule="auto"/>
        <w:jc w:val="both"/>
        <w:rPr>
          <w:rFonts w:ascii="Times New Roman" w:hAnsi="Times New Roman" w:cs="Times New Roman"/>
          <w:sz w:val="22"/>
          <w:szCs w:val="22"/>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br w:type="page"/>
      </w:r>
    </w:p>
    <w:p w:rsidR="005F5E3C" w:rsidRPr="00E87A5F" w:rsidRDefault="005F5E3C" w:rsidP="005F5E3C">
      <w:pPr>
        <w:pStyle w:val="Nagwek1"/>
        <w:spacing w:line="240" w:lineRule="auto"/>
        <w:jc w:val="both"/>
        <w:rPr>
          <w:rFonts w:ascii="Times New Roman" w:hAnsi="Times New Roman" w:cs="Times New Roman"/>
          <w:color w:val="000000"/>
          <w:sz w:val="22"/>
          <w:szCs w:val="22"/>
        </w:rPr>
      </w:pPr>
      <w:bookmarkStart w:id="2" w:name="_Toc433797009"/>
      <w:bookmarkStart w:id="3" w:name="_Toc439152889"/>
      <w:bookmarkStart w:id="4" w:name="_Toc439184037"/>
      <w:r w:rsidRPr="00E87A5F">
        <w:rPr>
          <w:rFonts w:ascii="Times New Roman" w:hAnsi="Times New Roman" w:cs="Times New Roman"/>
          <w:bCs w:val="0"/>
          <w:sz w:val="22"/>
          <w:szCs w:val="22"/>
        </w:rPr>
        <w:lastRenderedPageBreak/>
        <w:t>Rozdział I Charakterystyka LGD</w:t>
      </w:r>
      <w:bookmarkEnd w:id="2"/>
      <w:bookmarkEnd w:id="3"/>
      <w:bookmarkEnd w:id="4"/>
    </w:p>
    <w:p w:rsidR="005F5E3C" w:rsidRPr="00E87A5F" w:rsidRDefault="005F5E3C" w:rsidP="005F5E3C">
      <w:pPr>
        <w:pStyle w:val="Default"/>
        <w:jc w:val="both"/>
        <w:rPr>
          <w:sz w:val="22"/>
          <w:szCs w:val="22"/>
        </w:rPr>
      </w:pPr>
    </w:p>
    <w:p w:rsidR="005F5E3C" w:rsidRPr="00E87A5F" w:rsidRDefault="005F5E3C" w:rsidP="005F5E3C">
      <w:pPr>
        <w:pStyle w:val="Default"/>
        <w:numPr>
          <w:ilvl w:val="0"/>
          <w:numId w:val="2"/>
        </w:numPr>
        <w:jc w:val="both"/>
        <w:outlineLvl w:val="1"/>
        <w:rPr>
          <w:b/>
          <w:sz w:val="22"/>
          <w:szCs w:val="22"/>
        </w:rPr>
      </w:pPr>
      <w:bookmarkStart w:id="5" w:name="_Toc433797010"/>
      <w:bookmarkStart w:id="6" w:name="_Toc439152890"/>
      <w:bookmarkStart w:id="7" w:name="_Toc439184038"/>
      <w:r w:rsidRPr="00E87A5F">
        <w:rPr>
          <w:b/>
          <w:sz w:val="22"/>
          <w:szCs w:val="22"/>
        </w:rPr>
        <w:t>Forma prawna i nazwa LGD</w:t>
      </w:r>
      <w:bookmarkEnd w:id="5"/>
      <w:bookmarkEnd w:id="6"/>
      <w:bookmarkEnd w:id="7"/>
      <w:r w:rsidRPr="00E87A5F">
        <w:rPr>
          <w:b/>
          <w:sz w:val="22"/>
          <w:szCs w:val="22"/>
        </w:rPr>
        <w:t xml:space="preserve"> </w:t>
      </w:r>
    </w:p>
    <w:p w:rsidR="005F5E3C" w:rsidRPr="00E87A5F" w:rsidRDefault="005F5E3C" w:rsidP="005F5E3C">
      <w:pPr>
        <w:spacing w:after="0" w:line="240" w:lineRule="auto"/>
        <w:jc w:val="both"/>
        <w:rPr>
          <w:rFonts w:ascii="Times New Roman" w:hAnsi="Times New Roman" w:cs="Times New Roman"/>
          <w:color w:val="000000"/>
          <w:u w:val="single"/>
        </w:rPr>
      </w:pPr>
      <w:r w:rsidRPr="00E87A5F">
        <w:rPr>
          <w:rFonts w:ascii="Times New Roman" w:hAnsi="Times New Roman" w:cs="Times New Roman"/>
          <w:color w:val="000000"/>
        </w:rPr>
        <w:t>Stowarzyszenie Lokalna Grupa Działania Kwiat Lnu zostało zarejestrowane w KRS pod nr 0000312366 w dniu 26.08.2008 r.</w:t>
      </w: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Stowarzyszenie powstało w oparciu o art. 15 ustawy z dnia 7 marca 2007r. o wspieraniu rozwoju obszarów wiejskich z udziałem środków Europejskiego Funduszu Rolnego na rzecz Rozwoju Obszarów Wiejskich (Dz. U. Nr 64, poz. 427 oraz z 2008r. Nr 98, poz. 634).</w:t>
      </w:r>
    </w:p>
    <w:p w:rsidR="005F5E3C" w:rsidRPr="00E87A5F" w:rsidRDefault="005F5E3C" w:rsidP="005F5E3C">
      <w:pPr>
        <w:pStyle w:val="Default"/>
        <w:numPr>
          <w:ilvl w:val="0"/>
          <w:numId w:val="2"/>
        </w:numPr>
        <w:jc w:val="both"/>
        <w:outlineLvl w:val="1"/>
        <w:rPr>
          <w:b/>
          <w:sz w:val="22"/>
          <w:szCs w:val="22"/>
        </w:rPr>
      </w:pPr>
      <w:bookmarkStart w:id="8" w:name="_Toc433797011"/>
      <w:bookmarkStart w:id="9" w:name="_Toc439152891"/>
      <w:bookmarkStart w:id="10" w:name="_Toc439184039"/>
      <w:r w:rsidRPr="00E87A5F">
        <w:rPr>
          <w:b/>
          <w:sz w:val="22"/>
          <w:szCs w:val="22"/>
        </w:rPr>
        <w:t>Opis obszaru</w:t>
      </w:r>
      <w:bookmarkEnd w:id="8"/>
      <w:bookmarkEnd w:id="9"/>
      <w:bookmarkEnd w:id="10"/>
      <w:r w:rsidRPr="00E87A5F">
        <w:rPr>
          <w:b/>
          <w:sz w:val="22"/>
          <w:szCs w:val="22"/>
        </w:rPr>
        <w:t xml:space="preserve"> </w:t>
      </w:r>
    </w:p>
    <w:p w:rsidR="005F5E3C" w:rsidRPr="00E87A5F" w:rsidRDefault="005F5E3C" w:rsidP="005F5E3C">
      <w:pPr>
        <w:spacing w:after="0" w:line="240" w:lineRule="auto"/>
        <w:jc w:val="both"/>
        <w:rPr>
          <w:rFonts w:ascii="Times New Roman" w:hAnsi="Times New Roman" w:cs="Times New Roman"/>
        </w:rPr>
      </w:pPr>
      <w:bookmarkStart w:id="11" w:name="_Toc433796515"/>
      <w:bookmarkStart w:id="12" w:name="_Toc295499701"/>
      <w:r w:rsidRPr="00E87A5F">
        <w:rPr>
          <w:rFonts w:ascii="Times New Roman" w:hAnsi="Times New Roman" w:cs="Times New Roman"/>
        </w:rPr>
        <w:t>Stowarzyszenie LGD Kwiat Lnu obejmuje swoim działaniem obszar 8 gmin położonych w granicach administracyjnych dwóch powiatów: kamiennogórskiego i wałbrzyskiego,</w:t>
      </w:r>
      <w:r w:rsidRPr="00E87A5F">
        <w:rPr>
          <w:rFonts w:ascii="Times New Roman" w:hAnsi="Times New Roman" w:cs="Times New Roman"/>
          <w:color w:val="000000"/>
        </w:rPr>
        <w:t xml:space="preserve"> a mianowicie: czterech gmin wiejskich - Kamienna Góra, Marciszów, Czarny Bór i Stare Bogaczowice; dwóch gmin miejsko-wiejskich: Lubawka i Mieroszów oraz dwóch gmin miejskich: Szczawno – Zdrój i Boguszów – Gorce.</w:t>
      </w:r>
      <w:r w:rsidRPr="00E87A5F">
        <w:rPr>
          <w:rFonts w:ascii="Times New Roman" w:hAnsi="Times New Roman" w:cs="Times New Roman"/>
        </w:rPr>
        <w:t xml:space="preserve"> Łącznie zajmują powierzchnię 650 km</w:t>
      </w:r>
      <w:r w:rsidRPr="00E87A5F">
        <w:rPr>
          <w:rFonts w:ascii="Times New Roman" w:hAnsi="Times New Roman" w:cs="Times New Roman"/>
          <w:vertAlign w:val="superscript"/>
        </w:rPr>
        <w:t>2</w:t>
      </w:r>
      <w:r w:rsidRPr="00E87A5F">
        <w:rPr>
          <w:rFonts w:ascii="Times New Roman" w:hAnsi="Times New Roman" w:cs="Times New Roman"/>
        </w:rPr>
        <w:t>, co stanowi 3,25% powierzchni województwa dolnośląskiego. Obszar leży w południowo-zachodniej Polsce, na pograniczu Sudetów Zachodnich i Środkowych.</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noProof/>
          <w:sz w:val="22"/>
          <w:szCs w:val="22"/>
        </w:rPr>
        <w:t>.</w:t>
      </w:r>
      <w:r w:rsidRPr="00E87A5F">
        <w:rPr>
          <w:rFonts w:ascii="Times New Roman" w:hAnsi="Times New Roman"/>
          <w:sz w:val="22"/>
          <w:szCs w:val="22"/>
        </w:rPr>
        <w:t xml:space="preserve"> Gminy LGD Kwiat Lnu</w:t>
      </w:r>
    </w:p>
    <w:tbl>
      <w:tblPr>
        <w:tblW w:w="9781" w:type="dxa"/>
        <w:jc w:val="center"/>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10" w:type="dxa"/>
          <w:right w:w="10" w:type="dxa"/>
        </w:tblCellMar>
        <w:tblLook w:val="0000" w:firstRow="0" w:lastRow="0" w:firstColumn="0" w:lastColumn="0" w:noHBand="0" w:noVBand="0"/>
      </w:tblPr>
      <w:tblGrid>
        <w:gridCol w:w="1993"/>
        <w:gridCol w:w="986"/>
        <w:gridCol w:w="1782"/>
        <w:gridCol w:w="1942"/>
        <w:gridCol w:w="1898"/>
        <w:gridCol w:w="1180"/>
      </w:tblGrid>
      <w:tr w:rsidR="005F5E3C" w:rsidRPr="00E87A5F" w:rsidTr="00067FD0">
        <w:trPr>
          <w:jc w:val="center"/>
        </w:trPr>
        <w:tc>
          <w:tcPr>
            <w:tcW w:w="1993" w:type="dxa"/>
            <w:shd w:val="clear" w:color="auto" w:fill="B8CCE4" w:themeFill="accent1" w:themeFillTint="66"/>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Gmina</w:t>
            </w:r>
          </w:p>
        </w:tc>
        <w:tc>
          <w:tcPr>
            <w:tcW w:w="986" w:type="dxa"/>
            <w:shd w:val="clear" w:color="auto" w:fill="B8CCE4" w:themeFill="accent1" w:themeFillTint="66"/>
            <w:tcMar>
              <w:top w:w="0" w:type="dxa"/>
              <w:left w:w="108" w:type="dxa"/>
              <w:bottom w:w="0" w:type="dxa"/>
              <w:right w:w="108" w:type="dxa"/>
            </w:tcMar>
            <w:vAlign w:val="center"/>
          </w:tcPr>
          <w:p w:rsidR="005F5E3C" w:rsidRPr="00E87A5F" w:rsidRDefault="005F5E3C" w:rsidP="00067FD0">
            <w:pPr>
              <w:spacing w:after="0" w:line="240" w:lineRule="auto"/>
              <w:jc w:val="center"/>
              <w:rPr>
                <w:rFonts w:ascii="Times New Roman" w:hAnsi="Times New Roman" w:cs="Times New Roman"/>
                <w:b/>
              </w:rPr>
            </w:pPr>
            <w:proofErr w:type="spellStart"/>
            <w:r w:rsidRPr="00E87A5F">
              <w:rPr>
                <w:rFonts w:ascii="Times New Roman" w:hAnsi="Times New Roman" w:cs="Times New Roman"/>
                <w:b/>
              </w:rPr>
              <w:t>Teryt</w:t>
            </w:r>
            <w:proofErr w:type="spellEnd"/>
          </w:p>
        </w:tc>
        <w:tc>
          <w:tcPr>
            <w:tcW w:w="1782" w:type="dxa"/>
            <w:shd w:val="clear" w:color="auto" w:fill="B8CCE4" w:themeFill="accent1" w:themeFillTint="66"/>
            <w:tcMar>
              <w:top w:w="0" w:type="dxa"/>
              <w:left w:w="108" w:type="dxa"/>
              <w:bottom w:w="0" w:type="dxa"/>
              <w:right w:w="108" w:type="dxa"/>
            </w:tcMar>
            <w:vAlign w:val="center"/>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Rodzaj gminy</w:t>
            </w:r>
          </w:p>
        </w:tc>
        <w:tc>
          <w:tcPr>
            <w:tcW w:w="1942" w:type="dxa"/>
            <w:shd w:val="clear" w:color="auto" w:fill="B8CCE4" w:themeFill="accent1" w:themeFillTint="66"/>
            <w:tcMar>
              <w:top w:w="0" w:type="dxa"/>
              <w:left w:w="108" w:type="dxa"/>
              <w:bottom w:w="0" w:type="dxa"/>
              <w:right w:w="108" w:type="dxa"/>
            </w:tcMar>
            <w:vAlign w:val="center"/>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Powierzchnia km</w:t>
            </w:r>
            <w:r w:rsidRPr="00E87A5F">
              <w:rPr>
                <w:rFonts w:ascii="Times New Roman" w:hAnsi="Times New Roman" w:cs="Times New Roman"/>
                <w:b/>
                <w:vertAlign w:val="superscript"/>
              </w:rPr>
              <w:t>2</w:t>
            </w:r>
          </w:p>
        </w:tc>
        <w:tc>
          <w:tcPr>
            <w:tcW w:w="1898" w:type="dxa"/>
            <w:shd w:val="clear" w:color="auto" w:fill="B8CCE4" w:themeFill="accent1" w:themeFillTint="66"/>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mieszkańców</w:t>
            </w:r>
          </w:p>
        </w:tc>
        <w:tc>
          <w:tcPr>
            <w:tcW w:w="1180" w:type="dxa"/>
            <w:shd w:val="clear" w:color="auto" w:fill="B8CCE4" w:themeFill="accent1" w:themeFillTint="66"/>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sołectw</w:t>
            </w:r>
          </w:p>
        </w:tc>
      </w:tr>
      <w:tr w:rsidR="005F5E3C" w:rsidRPr="00E87A5F" w:rsidTr="00067FD0">
        <w:trPr>
          <w:trHeight w:val="303"/>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Boguszów Gorce</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0221011</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bookmarkStart w:id="13" w:name="OLE_LINK6"/>
            <w:bookmarkStart w:id="14" w:name="OLE_LINK7"/>
            <w:r w:rsidRPr="00E87A5F">
              <w:rPr>
                <w:rFonts w:ascii="Times New Roman" w:hAnsi="Times New Roman" w:cs="Times New Roman"/>
              </w:rPr>
              <w:t>miejska</w:t>
            </w:r>
            <w:bookmarkEnd w:id="13"/>
            <w:bookmarkEnd w:id="14"/>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27</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16 216</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Czarny Bór</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0221042</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66</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4 838</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Kamienna Góra</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0207022</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158</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9 038</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21</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Lubawka</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0207033</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138</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11 345</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14</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Marciszów</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0207042</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82</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4 642</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Mieroszów</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0221063</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76</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7 106</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Stare Bogaczowice</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0221072</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88</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4 254</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Szczawno-Zdrój</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0221031</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5 796</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rsidTr="00067FD0">
        <w:trPr>
          <w:trHeight w:val="124"/>
          <w:jc w:val="center"/>
        </w:trPr>
        <w:tc>
          <w:tcPr>
            <w:tcW w:w="4761" w:type="dxa"/>
            <w:gridSpan w:val="3"/>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Razem</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bCs/>
              </w:rPr>
              <w:t>650</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63 235</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66</w:t>
            </w:r>
          </w:p>
        </w:tc>
      </w:tr>
    </w:tbl>
    <w:p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Opracowanie własne na podstawie BDL GU</w:t>
      </w:r>
      <w:bookmarkEnd w:id="11"/>
      <w:bookmarkEnd w:id="12"/>
      <w:r w:rsidRPr="00E87A5F">
        <w:rPr>
          <w:rFonts w:ascii="Times New Roman" w:hAnsi="Times New Roman" w:cs="Times New Roman"/>
          <w:bCs/>
          <w:i/>
        </w:rPr>
        <w:t>S</w:t>
      </w:r>
      <w:bookmarkStart w:id="15" w:name="_Toc433797012"/>
    </w:p>
    <w:p w:rsidR="005F5E3C" w:rsidRPr="00E87A5F" w:rsidRDefault="005F5E3C" w:rsidP="005F5E3C">
      <w:pPr>
        <w:spacing w:after="0" w:line="240" w:lineRule="auto"/>
        <w:jc w:val="both"/>
        <w:rPr>
          <w:rFonts w:ascii="Times New Roman" w:hAnsi="Times New Roman" w:cs="Times New Roman"/>
          <w:bCs/>
          <w:i/>
        </w:rPr>
      </w:pPr>
    </w:p>
    <w:p w:rsidR="005F5E3C" w:rsidRPr="00E87A5F" w:rsidRDefault="005F5E3C" w:rsidP="005F5E3C">
      <w:pPr>
        <w:pStyle w:val="Legenda"/>
        <w:numPr>
          <w:ilvl w:val="0"/>
          <w:numId w:val="2"/>
        </w:numPr>
        <w:spacing w:after="0"/>
        <w:rPr>
          <w:rFonts w:ascii="Times New Roman" w:hAnsi="Times New Roman"/>
          <w:b w:val="0"/>
          <w:sz w:val="22"/>
          <w:szCs w:val="22"/>
        </w:rPr>
      </w:pPr>
      <w:r w:rsidRPr="00E87A5F">
        <w:rPr>
          <w:rFonts w:ascii="Times New Roman" w:hAnsi="Times New Roman"/>
          <w:color w:val="000000"/>
          <w:sz w:val="22"/>
          <w:szCs w:val="22"/>
        </w:rPr>
        <w:t>Mapa obszaru objętego LSR</w:t>
      </w:r>
      <w:bookmarkStart w:id="16" w:name="_Toc433796520"/>
      <w:bookmarkEnd w:id="15"/>
      <w:r w:rsidRPr="00E87A5F">
        <w:rPr>
          <w:rFonts w:ascii="Times New Roman" w:hAnsi="Times New Roman"/>
          <w:b w:val="0"/>
          <w:sz w:val="22"/>
          <w:szCs w:val="22"/>
        </w:rPr>
        <w:t xml:space="preserve"> </w:t>
      </w:r>
    </w:p>
    <w:p w:rsidR="005F5E3C" w:rsidRPr="00E87A5F" w:rsidRDefault="005F5E3C" w:rsidP="005F5E3C">
      <w:pPr>
        <w:pStyle w:val="Legenda"/>
        <w:spacing w:after="0"/>
        <w:rPr>
          <w:rFonts w:ascii="Times New Roman" w:eastAsiaTheme="minorHAnsi" w:hAnsi="Times New Roman"/>
          <w:b w:val="0"/>
          <w:bCs w:val="0"/>
          <w:sz w:val="22"/>
          <w:szCs w:val="22"/>
        </w:rPr>
      </w:pPr>
    </w:p>
    <w:bookmarkEnd w:id="16"/>
    <w:p w:rsidR="00F820DE" w:rsidRDefault="005F5E3C" w:rsidP="00F820DE">
      <w:pPr>
        <w:pStyle w:val="Legenda"/>
        <w:jc w:val="lef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sz w:val="22"/>
          <w:szCs w:val="22"/>
        </w:rPr>
        <w:t>. Mapa obszaru LSR</w:t>
      </w:r>
      <w:r w:rsidRPr="00E87A5F">
        <w:rPr>
          <w:rFonts w:ascii="Times New Roman" w:hAnsi="Times New Roman"/>
          <w:noProof/>
          <w:sz w:val="22"/>
          <w:szCs w:val="22"/>
        </w:rPr>
        <w:drawing>
          <wp:inline distT="0" distB="0" distL="0" distR="0" wp14:anchorId="3C3691EE" wp14:editId="1489319A">
            <wp:extent cx="5038725" cy="3606805"/>
            <wp:effectExtent l="19050" t="0" r="9525" b="0"/>
            <wp:docPr id="7" name="Obraz 22" descr="C:\Users\User\Documents\LGD Kwiat Lnu\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LGD Kwiat Lnu\mapa.jpg"/>
                    <pic:cNvPicPr>
                      <a:picLocks noChangeAspect="1" noChangeArrowheads="1"/>
                    </pic:cNvPicPr>
                  </pic:nvPicPr>
                  <pic:blipFill>
                    <a:blip r:embed="rId22" cstate="print"/>
                    <a:srcRect/>
                    <a:stretch>
                      <a:fillRect/>
                    </a:stretch>
                  </pic:blipFill>
                  <pic:spPr bwMode="auto">
                    <a:xfrm>
                      <a:off x="0" y="0"/>
                      <a:ext cx="5038725" cy="3606805"/>
                    </a:xfrm>
                    <a:prstGeom prst="rect">
                      <a:avLst/>
                    </a:prstGeom>
                    <a:noFill/>
                    <a:ln w="9525">
                      <a:noFill/>
                      <a:miter lim="800000"/>
                      <a:headEnd/>
                      <a:tailEnd/>
                    </a:ln>
                  </pic:spPr>
                </pic:pic>
              </a:graphicData>
            </a:graphic>
          </wp:inline>
        </w:drawing>
      </w:r>
    </w:p>
    <w:p w:rsidR="005F5E3C" w:rsidRPr="0035458B" w:rsidRDefault="005F5E3C" w:rsidP="00F820DE">
      <w:pPr>
        <w:pStyle w:val="Legenda"/>
        <w:jc w:val="left"/>
        <w:rPr>
          <w:rFonts w:ascii="Times New Roman" w:hAnsi="Times New Roman"/>
          <w:b w:val="0"/>
          <w:sz w:val="22"/>
          <w:szCs w:val="22"/>
        </w:rPr>
      </w:pPr>
      <w:r w:rsidRPr="0035458B">
        <w:rPr>
          <w:rFonts w:ascii="Times New Roman" w:hAnsi="Times New Roman"/>
          <w:b w:val="0"/>
          <w:i/>
          <w:sz w:val="22"/>
          <w:szCs w:val="22"/>
        </w:rPr>
        <w:t>Źródło: Opracowanie własne LGD</w:t>
      </w:r>
    </w:p>
    <w:p w:rsidR="005F5E3C" w:rsidRPr="00E87A5F" w:rsidRDefault="005F5E3C" w:rsidP="005F5E3C">
      <w:pPr>
        <w:pStyle w:val="Default"/>
        <w:numPr>
          <w:ilvl w:val="0"/>
          <w:numId w:val="2"/>
        </w:numPr>
        <w:jc w:val="both"/>
        <w:outlineLvl w:val="1"/>
        <w:rPr>
          <w:b/>
          <w:sz w:val="22"/>
          <w:szCs w:val="22"/>
        </w:rPr>
      </w:pPr>
      <w:bookmarkStart w:id="17" w:name="_Toc433797013"/>
      <w:bookmarkStart w:id="18" w:name="_Toc439152892"/>
      <w:bookmarkStart w:id="19" w:name="_Toc439184040"/>
      <w:r w:rsidRPr="00E87A5F">
        <w:rPr>
          <w:b/>
          <w:sz w:val="22"/>
          <w:szCs w:val="22"/>
        </w:rPr>
        <w:lastRenderedPageBreak/>
        <w:t>Opis procesu tworzenia partnerstwa</w:t>
      </w:r>
      <w:bookmarkEnd w:id="17"/>
      <w:bookmarkEnd w:id="18"/>
      <w:bookmarkEnd w:id="19"/>
      <w:r w:rsidRPr="00E87A5F">
        <w:rPr>
          <w:b/>
          <w:sz w:val="22"/>
          <w:szCs w:val="22"/>
        </w:rPr>
        <w:t xml:space="preserve"> </w:t>
      </w:r>
    </w:p>
    <w:p w:rsidR="005F5E3C" w:rsidRPr="00E87A5F" w:rsidRDefault="005F5E3C" w:rsidP="005F5E3C">
      <w:pPr>
        <w:pStyle w:val="Default"/>
        <w:ind w:left="360"/>
        <w:jc w:val="both"/>
        <w:outlineLvl w:val="1"/>
        <w:rPr>
          <w:b/>
          <w:sz w:val="22"/>
          <w:szCs w:val="22"/>
        </w:rPr>
      </w:pPr>
    </w:p>
    <w:p w:rsidR="005F5E3C" w:rsidRPr="00E87A5F" w:rsidRDefault="005F5E3C" w:rsidP="005F5E3C">
      <w:pPr>
        <w:pStyle w:val="Tekstpodstawowyzwciciem"/>
        <w:spacing w:after="0" w:line="240" w:lineRule="auto"/>
        <w:ind w:firstLine="0"/>
        <w:jc w:val="both"/>
        <w:rPr>
          <w:rFonts w:ascii="Times New Roman" w:hAnsi="Times New Roman" w:cs="Times New Roman"/>
        </w:rPr>
      </w:pPr>
      <w:r w:rsidRPr="00E87A5F">
        <w:rPr>
          <w:rFonts w:ascii="Times New Roman" w:hAnsi="Times New Roman" w:cs="Times New Roman"/>
        </w:rPr>
        <w:t xml:space="preserve">Budowanie partnerstwa na obszarze Lokalnej Grupy Działania Kwiat Lnu rozpoczęło się już w 2001r. od powołania nieformalnej Grupy Partnerskiej w ramach Program „Grupy Partnerskie dla Zrównoważonego Rozwoju” realizowanego przez Fundację Partnerstwo dla Środowiska z Krakowa. Na terenie powiatu kamiennogórskiego 20 partnerów z 3 sektorów (publicznego, gospodarczego i społecznego z terenu 3 gmin) rozpoczęło budowanie nowego ruchu społecznego opartego na podejściu oddolnym i wspierającym działania samorządów. Na terenie całej Polski powstało 7 takich grup.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styczniu 2006 r. została powołana Fundacja na rzecz Rozwoju Ziemi Kamiennogórskiej Kwiat Lnu. której powstanie było konsekwencją działań Grupy Partnerskiej oraz zrealizowanego projektu w ramach </w:t>
      </w:r>
      <w:r w:rsidRPr="00E87A5F">
        <w:rPr>
          <w:rFonts w:ascii="Times New Roman" w:hAnsi="Times New Roman" w:cs="Times New Roman"/>
          <w:b/>
        </w:rPr>
        <w:t>I Schematu Programu Leader+</w:t>
      </w:r>
      <w:r w:rsidRPr="00E87A5F">
        <w:rPr>
          <w:rFonts w:ascii="Times New Roman" w:hAnsi="Times New Roman" w:cs="Times New Roman"/>
        </w:rPr>
        <w:t xml:space="preserve">. Działalność Fundacji opierała się w głównej mierze na działaniach związanych z wdrażaniem i realizowaniem projektu „Lepsze jutro dla kamiennogórskich wsi, czyli jak wdrożyć produkt lokalny i poprawić jakość życia mieszkańców” zrealizowanego w ramach Pilotażowego </w:t>
      </w:r>
      <w:r w:rsidRPr="00E87A5F">
        <w:rPr>
          <w:rFonts w:ascii="Times New Roman" w:hAnsi="Times New Roman" w:cs="Times New Roman"/>
          <w:b/>
        </w:rPr>
        <w:t>Programu LEADER+ Schemat II</w:t>
      </w:r>
      <w:r w:rsidRPr="00E87A5F">
        <w:rPr>
          <w:rFonts w:ascii="Times New Roman" w:hAnsi="Times New Roman" w:cs="Times New Roman"/>
        </w:rPr>
        <w:t xml:space="preserve"> Sektorowego Programu Operacyjnego „Restrukturyzacja modernizacja sektora żywnościowego oraz rozwój obszarów wiejskich 2004-2006”. W 2007 i 2008 r. przystąpiły do naszej organizacji trzy kolejne gminy z powiatu wałbrzyskiego: Mieroszów, Czarny Bór i Stare Bogaczowice.</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Od maja 2008r rozpoczęto procedurę, aby Lokalna Grupa Działania była </w:t>
      </w:r>
      <w:r w:rsidRPr="00E87A5F">
        <w:rPr>
          <w:rFonts w:ascii="Times New Roman" w:hAnsi="Times New Roman" w:cs="Times New Roman"/>
          <w:b/>
        </w:rPr>
        <w:t>Stowarzyszeniem.</w:t>
      </w:r>
      <w:r w:rsidRPr="00E87A5F">
        <w:rPr>
          <w:rFonts w:ascii="Times New Roman" w:hAnsi="Times New Roman" w:cs="Times New Roman"/>
        </w:rPr>
        <w:t xml:space="preserve"> Założycielami było 65 podmiotów z różnych sektorów i mieszkańców. Z chwilą rejestracji w KRS, oficjalną LGD jest Stowarzyszenie Lokalna Grupa Działania Kwiat Lnu obejmująca swoim zasięgiem 6 gmin – 3 z powiatu kamiennogórskiego (Lubawka, Kamienna Góra i Marciszów) oraz 3 gminy z powiatu wałbrzyskiego (Mieroszów, Czarny Bór i Stare Bogaczowice) a od roku 2015 także gmina Szczawno-Zdrój i Boguszów Gorce. </w:t>
      </w:r>
    </w:p>
    <w:p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lang w:eastAsia="en-US"/>
        </w:rPr>
      </w:pPr>
      <w:r w:rsidRPr="00E87A5F">
        <w:rPr>
          <w:rFonts w:ascii="Times New Roman" w:eastAsiaTheme="minorHAnsi" w:hAnsi="Times New Roman" w:cs="Times New Roman"/>
          <w:b/>
          <w:bCs/>
          <w:lang w:eastAsia="en-US"/>
        </w:rPr>
        <w:t>W okresie programowania 2007-2013</w:t>
      </w:r>
      <w:r w:rsidRPr="00E87A5F">
        <w:rPr>
          <w:rFonts w:ascii="Times New Roman" w:eastAsiaTheme="minorHAnsi" w:hAnsi="Times New Roman" w:cs="Times New Roman"/>
          <w:bCs/>
          <w:lang w:eastAsia="en-US"/>
        </w:rPr>
        <w:t xml:space="preserve"> </w:t>
      </w:r>
      <w:r w:rsidRPr="00E87A5F">
        <w:rPr>
          <w:rFonts w:ascii="Times New Roman" w:eastAsiaTheme="minorHAnsi" w:hAnsi="Times New Roman" w:cs="Times New Roman"/>
          <w:lang w:eastAsia="en-US"/>
        </w:rPr>
        <w:t xml:space="preserve">Lokalna Grupa Działania Kwiat Lnu liczyła ponad 70 partnerów i wspólnie </w:t>
      </w:r>
      <w:r w:rsidRPr="00E87A5F">
        <w:rPr>
          <w:rFonts w:ascii="Times New Roman" w:eastAsiaTheme="minorHAnsi" w:hAnsi="Times New Roman" w:cs="Times New Roman"/>
          <w:bCs/>
          <w:lang w:eastAsia="en-US"/>
        </w:rPr>
        <w:t xml:space="preserve">zrealizowaliśmy cele i wskaźniki zapisane w Lokalnej Strategii Rozwoju na poziomie 98,58% dostępnych środków. </w:t>
      </w:r>
    </w:p>
    <w:p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themeColor="text1"/>
          <w:lang w:eastAsia="en-US"/>
        </w:rPr>
      </w:pPr>
      <w:r w:rsidRPr="00E87A5F">
        <w:rPr>
          <w:rFonts w:ascii="Times New Roman" w:eastAsiaTheme="minorHAnsi" w:hAnsi="Times New Roman" w:cs="Times New Roman"/>
          <w:color w:val="000000" w:themeColor="text1"/>
          <w:lang w:eastAsia="en-US"/>
        </w:rPr>
        <w:t>LSR zakładała  realizację 4 celów ogólnych:</w:t>
      </w:r>
    </w:p>
    <w:p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pierwszy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Turystyka ważnym źródłem dochodów i poprawy jakości życia mieszkańców. </w:t>
      </w:r>
    </w:p>
    <w:p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drugi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Zachowanie dziedzictwa kulturowego i przyrodniczego regionu. </w:t>
      </w:r>
    </w:p>
    <w:p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trzeci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Rozwój działalności usługowej na obszarach wiejskich. </w:t>
      </w:r>
    </w:p>
    <w:p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Cel czwarty</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aktywne i zintegrowane społeczności lokalne i gminy LGD . </w:t>
      </w:r>
    </w:p>
    <w:p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lang w:eastAsia="en-US"/>
        </w:rPr>
      </w:pPr>
      <w:r w:rsidRPr="00E87A5F">
        <w:rPr>
          <w:rFonts w:ascii="Times New Roman" w:eastAsiaTheme="minorHAnsi" w:hAnsi="Times New Roman" w:cs="Times New Roman"/>
          <w:color w:val="000000"/>
          <w:lang w:eastAsia="en-US"/>
        </w:rPr>
        <w:t xml:space="preserve">W okresie minionych 10 lat doradzaliśmy, jak pozyskiwać i rozliczać fundusze europejskie na realizację pomysłów mieszkańców wsi. Rozpisywaliśmy nabory wniosków, organizowaliśmy konkursy i przeprowadzaliśmy analizy dotyczące obszaru LGD. </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 xml:space="preserve">W okresie programowania 2007-2013 zostało ostatecznie zrealizowanych 95 projektów na łączną kwotę  4 740 632,26 zł. co dało 98,20% wykorzystania  budżetu zakładanego w strategii na realizację projektów przez beneficjentów. </w:t>
      </w:r>
    </w:p>
    <w:p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color w:val="000000"/>
          <w:lang w:eastAsia="en-US"/>
        </w:rPr>
      </w:pPr>
      <w:r w:rsidRPr="00E87A5F">
        <w:rPr>
          <w:rFonts w:ascii="Times New Roman" w:eastAsiaTheme="minorHAnsi" w:hAnsi="Times New Roman" w:cs="Times New Roman"/>
          <w:color w:val="000000"/>
          <w:lang w:eastAsia="en-US"/>
        </w:rPr>
        <w:t xml:space="preserve">Oprócz środków na wdrażanie LSR </w:t>
      </w:r>
      <w:r w:rsidRPr="00E87A5F">
        <w:rPr>
          <w:rFonts w:ascii="Times New Roman" w:eastAsiaTheme="minorHAnsi" w:hAnsi="Times New Roman" w:cs="Times New Roman"/>
          <w:bCs/>
          <w:color w:val="000000"/>
          <w:lang w:eastAsia="en-US"/>
        </w:rPr>
        <w:t>dysponowaliśmy również środkami</w:t>
      </w:r>
      <w:r w:rsidRPr="00E87A5F">
        <w:rPr>
          <w:rFonts w:ascii="Times New Roman" w:eastAsiaTheme="minorHAnsi" w:hAnsi="Times New Roman" w:cs="Times New Roman"/>
          <w:b/>
          <w:bCs/>
          <w:color w:val="000000"/>
          <w:lang w:eastAsia="en-US"/>
        </w:rPr>
        <w:t xml:space="preserve"> </w:t>
      </w:r>
      <w:r w:rsidRPr="00E87A5F">
        <w:rPr>
          <w:rFonts w:ascii="Times New Roman" w:eastAsiaTheme="minorHAnsi" w:hAnsi="Times New Roman" w:cs="Times New Roman"/>
          <w:color w:val="000000"/>
          <w:lang w:eastAsia="en-US"/>
        </w:rPr>
        <w:t xml:space="preserve">na </w:t>
      </w:r>
      <w:r w:rsidRPr="00E87A5F">
        <w:rPr>
          <w:rFonts w:ascii="Times New Roman" w:eastAsiaTheme="minorHAnsi" w:hAnsi="Times New Roman" w:cs="Times New Roman"/>
          <w:i/>
          <w:color w:val="000000"/>
          <w:lang w:eastAsia="en-US"/>
        </w:rPr>
        <w:t xml:space="preserve">„Funkcjonowanie lokalnej grupy działania, nabywanie umiejętności i aktywizacja” </w:t>
      </w:r>
      <w:r w:rsidRPr="00E87A5F">
        <w:rPr>
          <w:rFonts w:ascii="Times New Roman" w:eastAsiaTheme="minorHAnsi" w:hAnsi="Times New Roman" w:cs="Times New Roman"/>
          <w:bCs/>
          <w:color w:val="000000"/>
          <w:lang w:eastAsia="en-US"/>
        </w:rPr>
        <w:t xml:space="preserve">które wykorzystaliśmy na poziomie ponad  1 200 000,00zł oraz </w:t>
      </w:r>
      <w:r w:rsidRPr="00E87A5F">
        <w:rPr>
          <w:rFonts w:ascii="Times New Roman" w:eastAsiaTheme="minorHAnsi" w:hAnsi="Times New Roman" w:cs="Times New Roman"/>
          <w:color w:val="000000"/>
          <w:lang w:eastAsia="en-US"/>
        </w:rPr>
        <w:t xml:space="preserve">z powodzeniem </w:t>
      </w:r>
      <w:r w:rsidRPr="00E87A5F">
        <w:rPr>
          <w:rFonts w:ascii="Times New Roman" w:eastAsiaTheme="minorHAnsi" w:hAnsi="Times New Roman" w:cs="Times New Roman"/>
          <w:bCs/>
          <w:color w:val="000000"/>
          <w:lang w:eastAsia="en-US"/>
        </w:rPr>
        <w:t xml:space="preserve">zrealizowaliśmy dwa projekty </w:t>
      </w:r>
      <w:r w:rsidRPr="00E87A5F">
        <w:rPr>
          <w:rFonts w:ascii="Times New Roman" w:eastAsiaTheme="minorHAnsi" w:hAnsi="Times New Roman" w:cs="Times New Roman"/>
          <w:color w:val="000000"/>
          <w:lang w:eastAsia="en-US"/>
        </w:rPr>
        <w:t xml:space="preserve">współpracy – jeden międzynarodowy „Europejskie Drogi Św. Jakuba” oraz „Przewodnik za ladą” </w:t>
      </w:r>
      <w:r w:rsidRPr="00E87A5F">
        <w:rPr>
          <w:rFonts w:ascii="Times New Roman" w:eastAsiaTheme="minorHAnsi" w:hAnsi="Times New Roman" w:cs="Times New Roman"/>
          <w:bCs/>
          <w:color w:val="000000"/>
          <w:lang w:eastAsia="en-US"/>
        </w:rPr>
        <w:t xml:space="preserve">na kwotę prawie 124 tys. zł. </w:t>
      </w:r>
    </w:p>
    <w:p w:rsidR="005F5E3C" w:rsidRPr="00E87A5F" w:rsidRDefault="005F5E3C" w:rsidP="005F5E3C">
      <w:pPr>
        <w:pStyle w:val="Akapitzlist"/>
        <w:suppressAutoHyphens w:val="0"/>
        <w:autoSpaceDE w:val="0"/>
        <w:autoSpaceDN w:val="0"/>
        <w:adjustRightInd w:val="0"/>
        <w:spacing w:after="0" w:line="240" w:lineRule="auto"/>
        <w:ind w:left="360" w:firstLine="349"/>
        <w:jc w:val="both"/>
        <w:rPr>
          <w:rFonts w:ascii="Times New Roman" w:eastAsiaTheme="minorHAnsi" w:hAnsi="Times New Roman" w:cs="Times New Roman"/>
          <w:color w:val="000000"/>
          <w:lang w:eastAsia="en-US"/>
        </w:rPr>
      </w:pPr>
    </w:p>
    <w:p w:rsidR="005F5E3C" w:rsidRPr="00E87A5F" w:rsidRDefault="005F5E3C" w:rsidP="005F5E3C">
      <w:pPr>
        <w:pStyle w:val="Default"/>
        <w:numPr>
          <w:ilvl w:val="0"/>
          <w:numId w:val="2"/>
        </w:numPr>
        <w:jc w:val="both"/>
        <w:outlineLvl w:val="1"/>
        <w:rPr>
          <w:b/>
          <w:sz w:val="22"/>
          <w:szCs w:val="22"/>
        </w:rPr>
      </w:pPr>
      <w:bookmarkStart w:id="20" w:name="_Toc433797014"/>
      <w:bookmarkStart w:id="21" w:name="_Toc439152893"/>
      <w:bookmarkStart w:id="22" w:name="_Toc439184041"/>
      <w:r w:rsidRPr="00E87A5F">
        <w:rPr>
          <w:b/>
          <w:sz w:val="22"/>
          <w:szCs w:val="22"/>
        </w:rPr>
        <w:t>Opis struktury LGD</w:t>
      </w:r>
      <w:bookmarkEnd w:id="20"/>
      <w:bookmarkEnd w:id="21"/>
      <w:bookmarkEnd w:id="22"/>
      <w:r w:rsidRPr="00E87A5F">
        <w:rPr>
          <w:b/>
          <w:sz w:val="22"/>
          <w:szCs w:val="22"/>
        </w:rPr>
        <w:t xml:space="preserve"> </w:t>
      </w:r>
    </w:p>
    <w:p w:rsidR="005F5E3C" w:rsidRPr="002041B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Obecnie Stowarzyszenie tworzy 8 gmin w tym 12 przedstawicieli sektora publicznego, 18 przedstawicieli sektora społecznego, 13 przedsiębiorców oraz 32 mieszkańców. Łącznie, na dzień 30.12.2015 r. </w:t>
      </w:r>
      <w:r w:rsidRPr="002041B2">
        <w:rPr>
          <w:rFonts w:ascii="Times New Roman" w:hAnsi="Times New Roman" w:cs="Times New Roman"/>
        </w:rPr>
        <w:t xml:space="preserve">Stowarzyszenie posiada 75 członków. Reprezentacja sektorów przedstawia się następująco: </w:t>
      </w:r>
    </w:p>
    <w:p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publiczny – 16 %,</w:t>
      </w:r>
    </w:p>
    <w:p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społeczny – 24 % ,</w:t>
      </w:r>
    </w:p>
    <w:p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gospodarczy – 17 %,</w:t>
      </w:r>
    </w:p>
    <w:p w:rsidR="005F5E3C" w:rsidRPr="00E87A5F"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Mieszkańcy – 43 %.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Sposób rozszerzenia i zmiany składu lokalnej grupy działania określają przepisy § 9 i 10 Statutu Stowarzyszenia. Zgodnie z nimi partnerem mogą zostać osoby fizyczne i prawne oraz jednostki samorządu terytorialnego. Przystąpienie do partnerstwa następuje na drodze uchwały Zarządu Stowarzyszenia po złożeniu deklaracji o przystąpieniu do LGD wraz z wymaganą rekomendacją 2 członków LGD. W przypadku osób prawnych dodatkowo załączane są uchwały organu stanowiącego. Stowarzyszenie Kwiat Lnu buduje partnerstwo z dużą dbałością o zapewnienie reprezentacji wszystkich grup społecznych wśród członków LGD, a także wśród jej statutowych organów. Właściwa struktura organów LGD zapewnia reprezentację różnych grup interesów, a co za tym idzie zrównoważony rozwój obszaru LGD. Oddolne podejście do budowy strategii i regularnego funkcjonowania w trakcie jej wdrażania pozwala łączyć wiedzę, umiejętności i doświadczenie przedstawicieli trzech sektorów: publicznego, gospodarczego i społecznego. Partnerstwo, wdrażając podejście Leader działa w obszarach związanych z przedsiębiorczością, zasobami ludzkimi, a także dziedzictwem naturalnym, historycznym i kulturowym. Tak szerokie spektrum działania w połączeniu z partycypacją społeczną pozwala zidentyfikować obszary trudne i zaadresować główne problemy w strukturze LSR. Na etapie diagnozy i analizy SWOT zostały zidentyfikowane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oraz główne obszary wymagające wsparcia. Wnioski i planowane działania w tym zakresie są </w:t>
      </w:r>
      <w:r w:rsidRPr="00E87A5F">
        <w:rPr>
          <w:rFonts w:ascii="Times New Roman" w:hAnsi="Times New Roman" w:cs="Times New Roman"/>
        </w:rPr>
        <w:lastRenderedPageBreak/>
        <w:t xml:space="preserve">opisane w odpowiednich rozdziałach LSR. Ze względu na małą aktywność wspomnianych grup oraz ich wycofanie z życia społecznego wynikające z uwarunkowań środowiskowych opracowano dedykowane im sposoby komunikacji i włączenia w działania objęte planowanym wsparciem LGD. Informacje na ten temat zawarto w rozdziale poświęconym komunikacji. Od dnia powołania, Stowarzyszenie LGD Kwiat Lnu rozszerzało swój skład pozyskując członków zarówno z sektora publicznego, gospodarczego, społecznego jak i mieszkańców obszaru LGD. Dostęp do udziału w partnerstwie był i pozostaje otwarty. Nie były i nie są stosowane żadne ograniczenia lub wykluczenia, które można by uznać za dyskryminujące dla kogokolwiek. Dlatego też nie uznajemy za stosowne kategoryzowanie członków Stowarzyszenia ze względu na przynależność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prowadzenie tego rodzaju statystyki. Za ważną uznajemy jednak konieczność dotarcia do nich i udzielenia adekwatnego wsparcia niezależnie od ich członkostwa w LGD. W dużej mierze interesy tych grup społecznych są reprezentowane przez organizacje będące członkami Stowarzyszenia. Bezpośrednia możliwość wypowiadania się w kwestiach dla nich ważnych stworzona jest poprzez  partycypacyjny charakter LSR.</w:t>
      </w:r>
    </w:p>
    <w:p w:rsidR="005F5E3C" w:rsidRPr="00E87A5F" w:rsidRDefault="005F5E3C" w:rsidP="005F5E3C">
      <w:pPr>
        <w:tabs>
          <w:tab w:val="left" w:pos="284"/>
        </w:tabs>
        <w:spacing w:after="0" w:line="240" w:lineRule="auto"/>
        <w:ind w:left="1416"/>
        <w:jc w:val="both"/>
        <w:rPr>
          <w:rFonts w:ascii="Times New Roman" w:hAnsi="Times New Roman" w:cs="Times New Roman"/>
          <w:color w:val="000000"/>
        </w:rPr>
      </w:pPr>
    </w:p>
    <w:p w:rsidR="005F5E3C" w:rsidRPr="00E87A5F" w:rsidRDefault="005F5E3C" w:rsidP="005F5E3C">
      <w:pPr>
        <w:pStyle w:val="Default"/>
        <w:numPr>
          <w:ilvl w:val="0"/>
          <w:numId w:val="2"/>
        </w:numPr>
        <w:outlineLvl w:val="1"/>
        <w:rPr>
          <w:b/>
          <w:sz w:val="22"/>
          <w:szCs w:val="22"/>
        </w:rPr>
      </w:pPr>
      <w:bookmarkStart w:id="23" w:name="_Toc433797015"/>
      <w:bookmarkStart w:id="24" w:name="_Toc439152894"/>
      <w:bookmarkStart w:id="25" w:name="_Toc439184042"/>
      <w:r w:rsidRPr="00E87A5F">
        <w:rPr>
          <w:b/>
          <w:sz w:val="22"/>
          <w:szCs w:val="22"/>
        </w:rPr>
        <w:t>Opis składu organu decyzyjnego LGD</w:t>
      </w:r>
      <w:bookmarkEnd w:id="23"/>
      <w:bookmarkEnd w:id="24"/>
      <w:bookmarkEnd w:id="25"/>
      <w:r w:rsidRPr="00E87A5F">
        <w:rPr>
          <w:b/>
          <w:sz w:val="22"/>
          <w:szCs w:val="22"/>
        </w:rPr>
        <w:t xml:space="preserve"> </w:t>
      </w:r>
    </w:p>
    <w:p w:rsidR="005F5E3C" w:rsidRPr="00E87A5F" w:rsidRDefault="005F5E3C" w:rsidP="005F5E3C">
      <w:pPr>
        <w:pStyle w:val="Default"/>
        <w:jc w:val="both"/>
        <w:outlineLvl w:val="1"/>
        <w:rPr>
          <w:b/>
          <w:sz w:val="22"/>
          <w:szCs w:val="22"/>
        </w:rPr>
      </w:pPr>
      <w:bookmarkStart w:id="26" w:name="_Toc439184043"/>
      <w:r w:rsidRPr="00E87A5F">
        <w:rPr>
          <w:sz w:val="22"/>
          <w:szCs w:val="22"/>
        </w:rPr>
        <w:t>Organem decyzyjnym zgodnie ze statutem Stowarzyszenia LGD Kwiat Lnu  jest Rada wybierana na czteroletnią kadencję przez Walne Zebranie Członków LGD. Rada LGD jest organem, do którego wyłącznej właściwości należy wybór operacji w rozumieniu art. 2 pkt.9 Rozporządzenia  Parlamentu Europejskiego i Rady (UE) nr 1303/2013 z dnia 17.12.2013, które mają być realizowane w ramach opracowanej przez Stowarzyszenie Lokalnej Strategii Rozwoju oraz ustalenie kwoty wsparcia  zgodnie z art.34 ust.3 lit. f rozporządzenia Parlamentu Europejskiego i Rady (UE) nr 1303/2013 z dnia 17.12.2013.</w:t>
      </w:r>
      <w:bookmarkEnd w:id="26"/>
      <w:r w:rsidRPr="00E87A5F">
        <w:rPr>
          <w:sz w:val="22"/>
          <w:szCs w:val="22"/>
        </w:rPr>
        <w:t xml:space="preserve"> </w:t>
      </w:r>
    </w:p>
    <w:p w:rsidR="00575F6F" w:rsidRPr="00E87A5F" w:rsidRDefault="00575F6F" w:rsidP="00575F6F">
      <w:pPr>
        <w:spacing w:after="0" w:line="240" w:lineRule="auto"/>
        <w:jc w:val="both"/>
        <w:rPr>
          <w:rFonts w:ascii="Times New Roman" w:hAnsi="Times New Roman" w:cs="Times New Roman"/>
        </w:rPr>
      </w:pPr>
      <w:r w:rsidRPr="00FC37C9">
        <w:rPr>
          <w:rFonts w:ascii="Times New Roman" w:hAnsi="Times New Roman" w:cs="Times New Roman"/>
        </w:rPr>
        <w:t>Skład Rady wchodzą przedstawiciele ze wszystkich gmin z obszaru LGD będących członkami zwyczajnymi stowarzyszenia, oraz inne osoby nie będące członkami stowarzysze</w:t>
      </w:r>
      <w:r w:rsidR="009269F9">
        <w:rPr>
          <w:rFonts w:ascii="Times New Roman" w:hAnsi="Times New Roman" w:cs="Times New Roman"/>
        </w:rPr>
        <w:t>nia. Rada</w:t>
      </w:r>
      <w:r>
        <w:rPr>
          <w:rFonts w:ascii="Times New Roman" w:hAnsi="Times New Roman" w:cs="Times New Roman"/>
        </w:rPr>
        <w:t xml:space="preserve"> liczy 14 osób w tym 7 kobiet i 7</w:t>
      </w:r>
      <w:r w:rsidRPr="00FC37C9">
        <w:rPr>
          <w:rFonts w:ascii="Times New Roman" w:hAnsi="Times New Roman" w:cs="Times New Roman"/>
        </w:rPr>
        <w:t xml:space="preserve"> mężczyzn, jedna osoba ze składu Rady jest poniżej 35 roku życia. Żaden członek Rady nie jest równocześnie członkiem Komisji Rewizyjnej, Zarządu lub pracownikiem biura.</w:t>
      </w:r>
    </w:p>
    <w:p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xml:space="preserve"> Skład Rady</w:t>
      </w: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534"/>
        <w:gridCol w:w="1926"/>
        <w:gridCol w:w="2043"/>
        <w:gridCol w:w="1417"/>
        <w:gridCol w:w="992"/>
        <w:gridCol w:w="1165"/>
        <w:gridCol w:w="2521"/>
      </w:tblGrid>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proofErr w:type="spellStart"/>
            <w:r w:rsidRPr="00E87A5F">
              <w:rPr>
                <w:rFonts w:ascii="Times New Roman" w:hAnsi="Times New Roman" w:cs="Times New Roman"/>
              </w:rPr>
              <w:t>L.p</w:t>
            </w:r>
            <w:proofErr w:type="spellEnd"/>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Imię i nazwisko członka Rady</w:t>
            </w:r>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Nazwa reprezentowanej gminy</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Przedstawiciel sektora</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Członek Rady ma poniżej 35 lat</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Członek Rady jest kobietą</w:t>
            </w:r>
          </w:p>
        </w:tc>
        <w:tc>
          <w:tcPr>
            <w:tcW w:w="2521"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udział członków Rady w danym sektorze</w:t>
            </w: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1</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Barbara </w:t>
            </w:r>
            <w:proofErr w:type="spellStart"/>
            <w:r w:rsidRPr="00E87A5F">
              <w:rPr>
                <w:rFonts w:ascii="Times New Roman" w:hAnsi="Times New Roman" w:cs="Times New Roman"/>
              </w:rPr>
              <w:t>Jochymek</w:t>
            </w:r>
            <w:proofErr w:type="spellEnd"/>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Lubawka</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rsidR="00575F6F" w:rsidRPr="00E87A5F" w:rsidRDefault="00575F6F" w:rsidP="000946AA">
            <w:pPr>
              <w:jc w:val="center"/>
              <w:rPr>
                <w:rFonts w:ascii="Times New Roman" w:hAnsi="Times New Roman" w:cs="Times New Roman"/>
              </w:rPr>
            </w:pPr>
            <w:r w:rsidRPr="00E87A5F">
              <w:rPr>
                <w:rFonts w:ascii="Times New Roman" w:hAnsi="Times New Roman" w:cs="Times New Roman"/>
              </w:rPr>
              <w:t>21,43</w:t>
            </w: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2</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Ewa Siergiej</w:t>
            </w:r>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rsidR="00575F6F" w:rsidRPr="00E87A5F" w:rsidRDefault="00575F6F" w:rsidP="000946AA">
            <w:pPr>
              <w:jc w:val="center"/>
              <w:rPr>
                <w:rFonts w:ascii="Times New Roman" w:hAnsi="Times New Roman" w:cs="Times New Roman"/>
              </w:rPr>
            </w:pP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3</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Marcin </w:t>
            </w:r>
            <w:proofErr w:type="spellStart"/>
            <w:r w:rsidRPr="00E87A5F">
              <w:rPr>
                <w:rFonts w:ascii="Times New Roman" w:hAnsi="Times New Roman" w:cs="Times New Roman"/>
              </w:rPr>
              <w:t>Bradel</w:t>
            </w:r>
            <w:proofErr w:type="spellEnd"/>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Stare Bogaczowice</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rsidR="00575F6F" w:rsidRPr="00E87A5F" w:rsidRDefault="00575F6F" w:rsidP="000946AA">
            <w:pPr>
              <w:jc w:val="center"/>
              <w:rPr>
                <w:rFonts w:ascii="Times New Roman" w:hAnsi="Times New Roman" w:cs="Times New Roman"/>
              </w:rPr>
            </w:pP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4</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 xml:space="preserve">Halina </w:t>
            </w:r>
            <w:proofErr w:type="spellStart"/>
            <w:r w:rsidRPr="00E87A5F">
              <w:rPr>
                <w:rFonts w:ascii="Times New Roman" w:hAnsi="Times New Roman" w:cs="Times New Roman"/>
              </w:rPr>
              <w:t>Tykierko</w:t>
            </w:r>
            <w:proofErr w:type="spellEnd"/>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społeczny</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rsidR="000946AA" w:rsidRPr="00E87A5F" w:rsidRDefault="000946AA" w:rsidP="000946AA">
            <w:pPr>
              <w:jc w:val="center"/>
              <w:rPr>
                <w:rFonts w:ascii="Times New Roman" w:hAnsi="Times New Roman" w:cs="Times New Roman"/>
              </w:rPr>
            </w:pPr>
            <w:r>
              <w:rPr>
                <w:rFonts w:ascii="Times New Roman" w:hAnsi="Times New Roman" w:cs="Times New Roman"/>
              </w:rPr>
              <w:t>14,28</w:t>
            </w:r>
          </w:p>
        </w:tc>
      </w:tr>
      <w:tr w:rsidR="000946AA" w:rsidRPr="00E87A5F" w:rsidTr="0085003C">
        <w:trPr>
          <w:jc w:val="center"/>
        </w:trPr>
        <w:tc>
          <w:tcPr>
            <w:tcW w:w="534" w:type="dxa"/>
          </w:tcPr>
          <w:p w:rsidR="000946AA" w:rsidRPr="00E87A5F" w:rsidRDefault="008C4984" w:rsidP="0085003C">
            <w:pPr>
              <w:jc w:val="both"/>
              <w:rPr>
                <w:rFonts w:ascii="Times New Roman" w:hAnsi="Times New Roman" w:cs="Times New Roman"/>
              </w:rPr>
            </w:pPr>
            <w:r>
              <w:rPr>
                <w:rFonts w:ascii="Times New Roman" w:hAnsi="Times New Roman" w:cs="Times New Roman"/>
              </w:rPr>
              <w:t>5</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Mirosław Wolak</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Marciszów</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społeczny</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rsidR="000946AA" w:rsidRPr="00E87A5F" w:rsidRDefault="000946AA" w:rsidP="000946AA">
            <w:pPr>
              <w:jc w:val="center"/>
              <w:rPr>
                <w:rFonts w:ascii="Times New Roman" w:hAnsi="Times New Roman" w:cs="Times New Roman"/>
              </w:rPr>
            </w:pPr>
          </w:p>
        </w:tc>
      </w:tr>
      <w:tr w:rsidR="000946AA" w:rsidRPr="00E87A5F" w:rsidTr="000946AA">
        <w:trPr>
          <w:jc w:val="center"/>
        </w:trPr>
        <w:tc>
          <w:tcPr>
            <w:tcW w:w="534" w:type="dxa"/>
          </w:tcPr>
          <w:p w:rsidR="000946AA" w:rsidRDefault="008C4984" w:rsidP="0085003C">
            <w:pPr>
              <w:jc w:val="both"/>
              <w:rPr>
                <w:rFonts w:ascii="Times New Roman" w:hAnsi="Times New Roman" w:cs="Times New Roman"/>
              </w:rPr>
            </w:pPr>
            <w:r>
              <w:rPr>
                <w:rFonts w:ascii="Times New Roman" w:hAnsi="Times New Roman" w:cs="Times New Roman"/>
              </w:rPr>
              <w:t>6</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Joanna Kwiatkowska</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Boguszów-Gorce</w:t>
            </w:r>
          </w:p>
        </w:tc>
        <w:tc>
          <w:tcPr>
            <w:tcW w:w="1417" w:type="dxa"/>
          </w:tcPr>
          <w:p w:rsidR="000946AA" w:rsidRPr="00E87A5F" w:rsidRDefault="008C4984" w:rsidP="0085003C">
            <w:pPr>
              <w:jc w:val="both"/>
              <w:rPr>
                <w:rFonts w:ascii="Times New Roman" w:hAnsi="Times New Roman" w:cs="Times New Roman"/>
              </w:rPr>
            </w:pPr>
            <w:r>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tcBorders>
              <w:bottom w:val="single" w:sz="4" w:space="0" w:color="auto"/>
            </w:tcBorders>
            <w:vAlign w:val="center"/>
          </w:tcPr>
          <w:p w:rsidR="000946AA" w:rsidRPr="00E87A5F" w:rsidRDefault="000946AA" w:rsidP="000946AA">
            <w:pPr>
              <w:jc w:val="center"/>
              <w:rPr>
                <w:rFonts w:ascii="Times New Roman" w:hAnsi="Times New Roman" w:cs="Times New Roman"/>
              </w:rPr>
            </w:pPr>
          </w:p>
        </w:tc>
      </w:tr>
      <w:tr w:rsidR="000946AA" w:rsidRPr="00E87A5F" w:rsidTr="000946AA">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7</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Grzegorz Szmajdziński</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restart"/>
            <w:tcBorders>
              <w:top w:val="single" w:sz="4" w:space="0" w:color="auto"/>
            </w:tcBorders>
            <w:vAlign w:val="center"/>
          </w:tcPr>
          <w:p w:rsidR="000946AA" w:rsidRPr="00E87A5F" w:rsidRDefault="000946AA" w:rsidP="000946AA">
            <w:pPr>
              <w:jc w:val="center"/>
              <w:rPr>
                <w:rFonts w:ascii="Times New Roman" w:hAnsi="Times New Roman" w:cs="Times New Roman"/>
              </w:rPr>
            </w:pPr>
            <w:r>
              <w:rPr>
                <w:rFonts w:ascii="Times New Roman" w:hAnsi="Times New Roman" w:cs="Times New Roman"/>
              </w:rPr>
              <w:t>42,86</w:t>
            </w: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8</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Sławomir Antoniewski</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Lubawka</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rsidR="000946AA" w:rsidRPr="00E87A5F" w:rsidRDefault="000946AA" w:rsidP="000946AA">
            <w:pPr>
              <w:jc w:val="center"/>
              <w:rPr>
                <w:rFonts w:ascii="Times New Roman" w:hAnsi="Times New Roman" w:cs="Times New Roman"/>
              </w:rPr>
            </w:pP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9</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 xml:space="preserve">Radosława </w:t>
            </w:r>
            <w:proofErr w:type="spellStart"/>
            <w:r w:rsidRPr="00E87A5F">
              <w:rPr>
                <w:rFonts w:ascii="Times New Roman" w:hAnsi="Times New Roman" w:cs="Times New Roman"/>
              </w:rPr>
              <w:t>Stramel</w:t>
            </w:r>
            <w:proofErr w:type="spellEnd"/>
            <w:r w:rsidRPr="00E87A5F">
              <w:rPr>
                <w:rFonts w:ascii="Times New Roman" w:hAnsi="Times New Roman" w:cs="Times New Roman"/>
              </w:rPr>
              <w:t xml:space="preserve"> – </w:t>
            </w:r>
            <w:proofErr w:type="spellStart"/>
            <w:r w:rsidRPr="00E87A5F">
              <w:rPr>
                <w:rFonts w:ascii="Times New Roman" w:hAnsi="Times New Roman" w:cs="Times New Roman"/>
              </w:rPr>
              <w:t>Świteńka</w:t>
            </w:r>
            <w:proofErr w:type="spellEnd"/>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Stare Bogaczowice</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rsidR="000946AA" w:rsidRPr="00E87A5F" w:rsidRDefault="000946AA" w:rsidP="000946AA">
            <w:pPr>
              <w:jc w:val="center"/>
              <w:rPr>
                <w:rFonts w:ascii="Times New Roman" w:hAnsi="Times New Roman" w:cs="Times New Roman"/>
              </w:rPr>
            </w:pP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10</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Maria Świetlik</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Boguszów-Gorce</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rsidR="000946AA" w:rsidRPr="00E87A5F" w:rsidRDefault="000946AA" w:rsidP="000946AA">
            <w:pPr>
              <w:jc w:val="center"/>
              <w:rPr>
                <w:rFonts w:ascii="Times New Roman" w:hAnsi="Times New Roman" w:cs="Times New Roman"/>
              </w:rPr>
            </w:pP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11</w:t>
            </w:r>
          </w:p>
        </w:tc>
        <w:tc>
          <w:tcPr>
            <w:tcW w:w="1926" w:type="dxa"/>
          </w:tcPr>
          <w:p w:rsidR="000946AA" w:rsidRPr="00E87A5F" w:rsidRDefault="000946AA" w:rsidP="0085003C">
            <w:pPr>
              <w:jc w:val="both"/>
              <w:rPr>
                <w:rFonts w:ascii="Times New Roman" w:hAnsi="Times New Roman" w:cs="Times New Roman"/>
              </w:rPr>
            </w:pPr>
            <w:r>
              <w:rPr>
                <w:rFonts w:ascii="Times New Roman" w:hAnsi="Times New Roman" w:cs="Times New Roman"/>
              </w:rPr>
              <w:t>Bartłomiej Filip</w:t>
            </w:r>
          </w:p>
        </w:tc>
        <w:tc>
          <w:tcPr>
            <w:tcW w:w="2043" w:type="dxa"/>
          </w:tcPr>
          <w:p w:rsidR="000946AA" w:rsidRPr="00E87A5F" w:rsidRDefault="000946AA" w:rsidP="0085003C">
            <w:pPr>
              <w:jc w:val="both"/>
              <w:rPr>
                <w:rFonts w:ascii="Times New Roman" w:hAnsi="Times New Roman" w:cs="Times New Roman"/>
              </w:rPr>
            </w:pPr>
            <w:r>
              <w:rPr>
                <w:rFonts w:ascii="Times New Roman" w:hAnsi="Times New Roman" w:cs="Times New Roman"/>
              </w:rPr>
              <w:t>Czarny Bór</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Pr>
                <w:rFonts w:ascii="Times New Roman" w:hAnsi="Times New Roman" w:cs="Times New Roman"/>
              </w:rPr>
              <w:t>tak</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rsidR="000946AA" w:rsidRPr="00E87A5F" w:rsidRDefault="000946AA" w:rsidP="000946AA">
            <w:pPr>
              <w:jc w:val="center"/>
              <w:rPr>
                <w:rFonts w:ascii="Times New Roman" w:hAnsi="Times New Roman" w:cs="Times New Roman"/>
              </w:rPr>
            </w:pP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12</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Andżelika </w:t>
            </w:r>
            <w:proofErr w:type="spellStart"/>
            <w:r w:rsidRPr="00E87A5F">
              <w:rPr>
                <w:rFonts w:ascii="Times New Roman" w:hAnsi="Times New Roman" w:cs="Times New Roman"/>
              </w:rPr>
              <w:t>Godyk</w:t>
            </w:r>
            <w:proofErr w:type="spellEnd"/>
            <w:r w:rsidRPr="00E87A5F">
              <w:rPr>
                <w:rFonts w:ascii="Times New Roman" w:hAnsi="Times New Roman" w:cs="Times New Roman"/>
              </w:rPr>
              <w:t>-Kijewska</w:t>
            </w:r>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Szczawno-Zdrój</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rsidR="00575F6F" w:rsidRPr="00E87A5F" w:rsidRDefault="00575F6F" w:rsidP="000946AA">
            <w:pPr>
              <w:jc w:val="center"/>
              <w:rPr>
                <w:rFonts w:ascii="Times New Roman" w:hAnsi="Times New Roman" w:cs="Times New Roman"/>
              </w:rPr>
            </w:pPr>
            <w:r w:rsidRPr="00E87A5F">
              <w:rPr>
                <w:rFonts w:ascii="Times New Roman" w:hAnsi="Times New Roman" w:cs="Times New Roman"/>
              </w:rPr>
              <w:t>21,43</w:t>
            </w: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13</w:t>
            </w:r>
          </w:p>
        </w:tc>
        <w:tc>
          <w:tcPr>
            <w:tcW w:w="1926" w:type="dxa"/>
          </w:tcPr>
          <w:p w:rsidR="00575F6F" w:rsidRPr="00E87A5F" w:rsidRDefault="00575F6F" w:rsidP="0085003C">
            <w:pPr>
              <w:jc w:val="both"/>
              <w:rPr>
                <w:rFonts w:ascii="Times New Roman" w:hAnsi="Times New Roman" w:cs="Times New Roman"/>
              </w:rPr>
            </w:pPr>
            <w:r>
              <w:rPr>
                <w:rFonts w:ascii="Times New Roman" w:hAnsi="Times New Roman" w:cs="Times New Roman"/>
              </w:rPr>
              <w:t xml:space="preserve">Rafał </w:t>
            </w:r>
            <w:proofErr w:type="spellStart"/>
            <w:r>
              <w:rPr>
                <w:rFonts w:ascii="Times New Roman" w:hAnsi="Times New Roman" w:cs="Times New Roman"/>
              </w:rPr>
              <w:t>Dzimira</w:t>
            </w:r>
            <w:proofErr w:type="spellEnd"/>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Mieroszów</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tcPr>
          <w:p w:rsidR="00575F6F" w:rsidRPr="00E87A5F" w:rsidRDefault="00575F6F" w:rsidP="0085003C">
            <w:pPr>
              <w:jc w:val="both"/>
              <w:rPr>
                <w:rFonts w:ascii="Times New Roman" w:hAnsi="Times New Roman" w:cs="Times New Roman"/>
              </w:rPr>
            </w:pP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14</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Tomasz </w:t>
            </w:r>
            <w:proofErr w:type="spellStart"/>
            <w:r w:rsidRPr="00E87A5F">
              <w:rPr>
                <w:rFonts w:ascii="Times New Roman" w:hAnsi="Times New Roman" w:cs="Times New Roman"/>
              </w:rPr>
              <w:t>Gromala</w:t>
            </w:r>
            <w:proofErr w:type="spellEnd"/>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Czarny Bór</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nie </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tcPr>
          <w:p w:rsidR="00575F6F" w:rsidRPr="00E87A5F" w:rsidRDefault="00575F6F" w:rsidP="0085003C">
            <w:pPr>
              <w:jc w:val="both"/>
              <w:rPr>
                <w:rFonts w:ascii="Times New Roman" w:hAnsi="Times New Roman" w:cs="Times New Roman"/>
              </w:rPr>
            </w:pPr>
          </w:p>
        </w:tc>
      </w:tr>
    </w:tbl>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 xml:space="preserve">Dokumentem szczegółowo regulującym funkcjonowanie organu decyzyjnego jest Regulamin Pracy Rady. Zasady w nim określone są istotne dla prawidłowego funkcjonowania Rady w tym sposób powoływania i odwoływania członków, zasady zwoływania posiedzeń oraz uczestniczenia w nich, terminy, kompetencje, zakres odpowiedzialności, zasady podawania do publicznej wiadomości za pomocą strony internetowej LGD protokołów z posiedzeń wraz z podjętymi uchwałami. W LGD przyjęto rozwiązania, które gwarantują, iż żadna z grup interesów nie może mieć dominującego wpływu na wybór operacji, ani władze publiczne, ani żadna pojedyncza grupa interesu </w:t>
      </w:r>
      <w:r w:rsidRPr="00E87A5F">
        <w:rPr>
          <w:rFonts w:ascii="Times New Roman" w:hAnsi="Times New Roman" w:cs="Times New Roman"/>
        </w:rPr>
        <w:lastRenderedPageBreak/>
        <w:t>nie posiada więcej niż 49% praw głosu w podejmowaniu decyzji, a sektor publiczny stanowi mniej niż 30% składu Rady. Przed podjęciem pracy w Radzie, każdy członek składa pisemną deklarację poufności.</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zapewnienia przejrzystości i rzetelności weryfikacji w obszarze reprezentatywności i bezstronności prowadzony jest rejestr interesów członków Rady. W celu zapewnienia prawidłowego funkcjonowania Rady odbędą się spotkania szkoleniowe dotyczące m.in. kryteriów wyboru dla poszczególnych operacji oraz sposobu przyznawania punktów w czasie oceny, z zakresu obsługi elektronicznej oceny wniosków i zmiany przepisów dotyczące wdrażania LSR.</w:t>
      </w:r>
    </w:p>
    <w:p w:rsidR="005F5E3C" w:rsidRPr="00E87A5F" w:rsidRDefault="005F5E3C" w:rsidP="005F5E3C">
      <w:pPr>
        <w:pStyle w:val="Default"/>
        <w:jc w:val="both"/>
        <w:outlineLvl w:val="1"/>
        <w:rPr>
          <w:b/>
          <w:sz w:val="22"/>
          <w:szCs w:val="22"/>
        </w:rPr>
      </w:pPr>
    </w:p>
    <w:p w:rsidR="005F5E3C" w:rsidRPr="00E87A5F" w:rsidRDefault="005F5E3C" w:rsidP="005F5E3C">
      <w:pPr>
        <w:pStyle w:val="Default"/>
        <w:numPr>
          <w:ilvl w:val="0"/>
          <w:numId w:val="2"/>
        </w:numPr>
        <w:jc w:val="both"/>
        <w:outlineLvl w:val="1"/>
        <w:rPr>
          <w:b/>
          <w:sz w:val="22"/>
          <w:szCs w:val="22"/>
        </w:rPr>
      </w:pPr>
      <w:bookmarkStart w:id="27" w:name="_Toc433797016"/>
      <w:bookmarkStart w:id="28" w:name="_Toc439152895"/>
      <w:bookmarkStart w:id="29" w:name="_Toc439184044"/>
      <w:r w:rsidRPr="00E87A5F">
        <w:rPr>
          <w:b/>
          <w:sz w:val="22"/>
          <w:szCs w:val="22"/>
        </w:rPr>
        <w:t>Charakterystyka  rozwiązań stosowanych w procesie decyzyjnym</w:t>
      </w:r>
      <w:bookmarkEnd w:id="27"/>
      <w:bookmarkEnd w:id="28"/>
      <w:bookmarkEnd w:id="29"/>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stworzenia sprawnego i czytelnego dla  potencjalnych beneficjentów systemu przyznawania wsparcia z budżetu LGD opracowano następujący zestaw procedur:</w:t>
      </w:r>
    </w:p>
    <w:p w:rsidR="005F5E3C" w:rsidRPr="00E87A5F" w:rsidRDefault="005F5E3C" w:rsidP="005F5E3C">
      <w:pPr>
        <w:pStyle w:val="Akapitzlist"/>
        <w:numPr>
          <w:ilvl w:val="0"/>
          <w:numId w:val="3"/>
        </w:numPr>
        <w:spacing w:after="0" w:line="240" w:lineRule="auto"/>
        <w:contextualSpacing/>
        <w:jc w:val="both"/>
        <w:rPr>
          <w:rFonts w:ascii="Times New Roman" w:hAnsi="Times New Roman" w:cs="Times New Roman"/>
        </w:rPr>
      </w:pPr>
      <w:r w:rsidRPr="00E87A5F">
        <w:rPr>
          <w:rFonts w:ascii="Times New Roman" w:hAnsi="Times New Roman" w:cs="Times New Roman"/>
        </w:rPr>
        <w:t>Procedura przyjmowania wniosków o dofinansowanie operacji w ramach LSR,</w:t>
      </w:r>
    </w:p>
    <w:p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wyboru operacji,</w:t>
      </w:r>
    </w:p>
    <w:p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Procedurę zmiany lokalnych kryteriów wyboru,</w:t>
      </w:r>
    </w:p>
    <w:p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wyłączenia członka Rady od udziału w wyborze operacji w razie zaistnienia okoliczności podważających bezstronność w procesie oceny,</w:t>
      </w:r>
    </w:p>
    <w:p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odwoławcza od decyzji Rady.</w:t>
      </w: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 celu zapewnienia sprawnego i bezbłędnego procesu decyzyjnego Rada wykorzystywać będzie elektroniczny system oceny wniosków.  System zapewnia zachowanie bezpieczeństwa przetwarzanych danych osobowych jak również prawidłowość przebiegu procesu oceny z obowiązującymi przepisami prawa i procedurami.</w:t>
      </w:r>
    </w:p>
    <w:p w:rsidR="005F5E3C" w:rsidRPr="00E87A5F" w:rsidRDefault="005F5E3C" w:rsidP="005F5E3C">
      <w:pPr>
        <w:spacing w:after="0" w:line="240" w:lineRule="auto"/>
        <w:jc w:val="both"/>
        <w:rPr>
          <w:rFonts w:ascii="Times New Roman" w:hAnsi="Times New Roman" w:cs="Times New Roman"/>
          <w:color w:val="000000"/>
        </w:rPr>
      </w:pPr>
    </w:p>
    <w:p w:rsidR="005F5E3C" w:rsidRPr="00E87A5F" w:rsidRDefault="005F5E3C" w:rsidP="005F5E3C">
      <w:pPr>
        <w:pStyle w:val="Default"/>
        <w:numPr>
          <w:ilvl w:val="0"/>
          <w:numId w:val="2"/>
        </w:numPr>
        <w:jc w:val="both"/>
        <w:outlineLvl w:val="1"/>
        <w:rPr>
          <w:b/>
          <w:sz w:val="22"/>
          <w:szCs w:val="22"/>
        </w:rPr>
      </w:pPr>
      <w:bookmarkStart w:id="30" w:name="_Toc433797017"/>
      <w:bookmarkStart w:id="31" w:name="_Toc439152896"/>
      <w:bookmarkStart w:id="32" w:name="_Toc439184045"/>
      <w:r w:rsidRPr="00E87A5F">
        <w:rPr>
          <w:b/>
          <w:sz w:val="22"/>
          <w:szCs w:val="22"/>
        </w:rPr>
        <w:t>Wskazanie dokumentów regulujących funkcjonowanie LGD</w:t>
      </w:r>
      <w:bookmarkEnd w:id="30"/>
      <w:bookmarkEnd w:id="31"/>
      <w:bookmarkEnd w:id="32"/>
      <w:r w:rsidRPr="00E87A5F">
        <w:rPr>
          <w:b/>
          <w:sz w:val="22"/>
          <w:szCs w:val="22"/>
        </w:rPr>
        <w:t xml:space="preserv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Funkcjonowanie Stowarzyszenia regulowane jest dokumentami zewnętrznymi oraz wewnętrznymi. Do najważniejszych dokumentów zewnętrznych należą:</w:t>
      </w:r>
    </w:p>
    <w:p w:rsidR="005F5E3C" w:rsidRPr="00E87A5F" w:rsidRDefault="005F5E3C" w:rsidP="005F5E3C">
      <w:pPr>
        <w:tabs>
          <w:tab w:val="left" w:pos="284"/>
          <w:tab w:val="left" w:pos="851"/>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7 kwietnia 1989 r. Prawo o stowarzyszeniach,</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24 kwietnia 2003 r. o działalności pożytku publicznego i wolontariacie,</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ustanawiającego przepisy ogólne dotyczące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uchylające rozporządzenie Rady (WE) nr 1083/2006,</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1305/2013 z dnia 17 grudnia 2013 r. w sprawie wsparcia rozwoju obszarów wiejskich przez Europejski Fundusz Rolny na rzecz Rozwoju Obszarów Wiejskich (EFRROW) i uchylające rozporządzenie Rady (WE) nr 1698/2005,</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11 lipca 2014 r. o zasadach realizacji programów w zakresie polityki spójności finansowanych w perspektywie finansowej 2014-2020,</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wpieraniu obszarów wiejskich z udziałem środków Europejskiego Funduszu Rolnego na rzecz Rozwoju Obszarów Wiejskich w ramach Programu Rozwoju Obszarów Wiejskich na lata 2014-2020,</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rozwoju lokalnym z udziałem lokalnej społeczności,</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Rozporządzenia wykonawcze do ww. przepisów prawa.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Powyższe dokumenty stanowią prawo obowiązujące LGD, stąd przyjmując poszczególne wewnętrzne regulaminy i procedury stosowano się do zasady niepowielania w nich przepisów, które wynikają z prawa krajowego lub europejskiego. Najważniejsze dokumenty wewnętrzne Stowarzyszenia to:</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Statut Stowarzyszenia, który przyjmowany i zmieniany jest uchwałą Walnego Zebrania, dokument ten w szczególności reguluje: zakres i obszar działalności stowarzyszenia, sposób przyjmowania nowych członków oraz ich prawa i obowiązki, podział kompetencji pomiędzy Walnym Zebraniem, Zarządem, Radą Programową, Komisją Rewizyjną, sposób reprezentacji Stowarzyszenia oraz zarządzania jego majątkiem,</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Walnego Zebrania, który przyjmowany i zmieniany jest uchwałą Walnego Zebrania, dokument ten reguluje sposób prowadzenia obrad Walnego Zebrania,</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Zarządu, który przyjmowany i zmieniany jest uchwałą Walnego Zebrania, reguluje on szczegółowo sposób zwoływania, przeprowadzania i dokumentowania posiedzeń Zarządu,</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biura, który przyjmowany i zmieniany jest uchwałą Zarządu, określający najważniejsze zadania w pracy biura Stowarzyszenia. Regulamin ten zawiera procedurę naboru pracowników (określający sposób postępowania w trakcie naboru nowego pracownika ) oraz regulamin wynagradzania pracowników</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w:t>
      </w:r>
      <w:proofErr w:type="spellStart"/>
      <w:r w:rsidRPr="00E87A5F">
        <w:rPr>
          <w:rFonts w:ascii="Times New Roman" w:hAnsi="Times New Roman" w:cs="Times New Roman"/>
        </w:rPr>
        <w:t>grantobiorców</w:t>
      </w:r>
      <w:proofErr w:type="spellEnd"/>
      <w:r w:rsidRPr="00E87A5F">
        <w:rPr>
          <w:rFonts w:ascii="Times New Roman" w:hAnsi="Times New Roman" w:cs="Times New Roman"/>
        </w:rPr>
        <w:t xml:space="preserve">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xml:space="preserve">, określająca szczegółowo procesy zachodzące podczas przeprowadzanego konkursu </w:t>
      </w:r>
      <w:r w:rsidRPr="00E87A5F">
        <w:rPr>
          <w:rFonts w:ascii="Times New Roman" w:hAnsi="Times New Roman" w:cs="Times New Roman"/>
        </w:rPr>
        <w:lastRenderedPageBreak/>
        <w:t>grantowego, jak również kompetencje i obowiązki poszczególnych organów statutowych, pracowników Stowarzyszenia związane z prawidłowym jego przeprowadzeniem,</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operacji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naboru wniosków o udzielenie wsparcia na operacje, jak również kompetencje i obowiązki poszczególnych organów statutowych, pracowników Stowarzyszenia związane z prawidłowym jego przeprowadzeniem,</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Regulamin Pracy Rady Programowej, który przyjmowany i uchwalany jest uchwałą </w:t>
      </w:r>
      <w:r w:rsidR="00303ECD">
        <w:rPr>
          <w:rFonts w:ascii="Times New Roman" w:hAnsi="Times New Roman" w:cs="Times New Roman"/>
        </w:rPr>
        <w:t>Zarządu</w:t>
      </w:r>
      <w:r w:rsidRPr="00E87A5F">
        <w:rPr>
          <w:rFonts w:ascii="Times New Roman" w:hAnsi="Times New Roman" w:cs="Times New Roman"/>
        </w:rPr>
        <w:t xml:space="preserve"> określający szczegółowo: sposób zwoływania, przeprowadzania i dokumentowania posiedzeń Rady Programowej, jak również sposób głosowania w trakcie przeprowadzanej oceny rozpatrywanych wniosków.</w:t>
      </w:r>
    </w:p>
    <w:p w:rsidR="005F5E3C" w:rsidRPr="00E87A5F" w:rsidRDefault="005F5E3C" w:rsidP="005F5E3C">
      <w:pPr>
        <w:tabs>
          <w:tab w:val="left" w:pos="284"/>
        </w:tabs>
        <w:spacing w:after="0" w:line="240" w:lineRule="auto"/>
        <w:jc w:val="both"/>
        <w:rPr>
          <w:rFonts w:ascii="Times New Roman" w:hAnsi="Times New Roman" w:cs="Times New Roman"/>
          <w:highlight w:val="yellow"/>
        </w:rPr>
      </w:pPr>
    </w:p>
    <w:p w:rsidR="005F5E3C" w:rsidRPr="00E87A5F" w:rsidRDefault="005F5E3C" w:rsidP="005F5E3C">
      <w:pPr>
        <w:pStyle w:val="Nagwek1"/>
        <w:keepLines w:val="0"/>
        <w:tabs>
          <w:tab w:val="num" w:pos="0"/>
        </w:tabs>
        <w:suppressAutoHyphens/>
        <w:spacing w:before="240" w:line="240" w:lineRule="auto"/>
        <w:jc w:val="both"/>
        <w:rPr>
          <w:rFonts w:ascii="Times New Roman" w:hAnsi="Times New Roman" w:cs="Times New Roman"/>
          <w:bCs w:val="0"/>
          <w:sz w:val="22"/>
          <w:szCs w:val="22"/>
        </w:rPr>
      </w:pPr>
      <w:bookmarkStart w:id="33" w:name="_Toc439152897"/>
      <w:bookmarkStart w:id="34" w:name="_Toc439184046"/>
      <w:r w:rsidRPr="00E87A5F">
        <w:rPr>
          <w:rFonts w:ascii="Times New Roman" w:hAnsi="Times New Roman" w:cs="Times New Roman"/>
          <w:bCs w:val="0"/>
          <w:sz w:val="22"/>
          <w:szCs w:val="22"/>
        </w:rPr>
        <w:t>Rozdział II Partycypacyjny charakter LSR</w:t>
      </w:r>
      <w:bookmarkEnd w:id="33"/>
      <w:bookmarkEnd w:id="34"/>
    </w:p>
    <w:p w:rsidR="005F5E3C" w:rsidRPr="00E87A5F" w:rsidRDefault="005F5E3C" w:rsidP="005F5E3C">
      <w:pPr>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Lokalna Strategia Rozwoju dla obszaru LGD Kwiat Lnu została przygotowana w sposób oddolny przy wykorzystaniu wiedzy i zaangażowania uczestników z różnych sektorów oraz mieszkańców regionu. Metody włączenia mieszkańców opracowano na podstawie wieloletnich doświadczeń  LGD w zakresie komunikacji oraz informowania o realizacji LSR jak również różnorodnych kompetencji którymi dysponowali  pracownicy biura,  członkowie zarządu oraz współpracownicy LGD. Lokalna Strategia Rozwoju nie była opracowywana przez podmiot zewnętrzny.</w:t>
      </w:r>
    </w:p>
    <w:p w:rsidR="005F5E3C" w:rsidRPr="00E87A5F" w:rsidRDefault="005F5E3C" w:rsidP="005F5E3C">
      <w:pPr>
        <w:spacing w:after="0" w:line="240" w:lineRule="auto"/>
        <w:jc w:val="both"/>
        <w:rPr>
          <w:rFonts w:ascii="Times New Roman" w:hAnsi="Times New Roman" w:cs="Times New Roman"/>
          <w:b/>
          <w:bCs/>
        </w:rPr>
      </w:pPr>
      <w:r w:rsidRPr="00E87A5F">
        <w:rPr>
          <w:rFonts w:ascii="Times New Roman" w:hAnsi="Times New Roman" w:cs="Times New Roman"/>
        </w:rPr>
        <w:t xml:space="preserve">Wykorzystano  różnorodne  metody m.in.: szerokie informowanie, zebranie danych do diagnozy obszaru, aktywne włączenie mieszkańców w definiowanie potrzeb i problemów, określenie celów, wskaźników i grup docelowych, a na końcu skonsultowanie propozycji przyjętych rozwiązań oraz dokumentu roboczego i ostatecznego strategii. </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bCs/>
        </w:rPr>
        <w:t>W szczególności procesie tworzenia LSR wykorzystano 8 metod ilościowych i jakościowych,</w:t>
      </w:r>
      <w:r w:rsidRPr="00E87A5F">
        <w:rPr>
          <w:rFonts w:ascii="Times New Roman" w:hAnsi="Times New Roman" w:cs="Times New Roman"/>
        </w:rPr>
        <w:t xml:space="preserve"> które zapewniły dopływ informacji na dwóch kluczowych etapach tworzenia LSR tj.: definiowania potrzeb i problemów (etap I) oraz określania celów i ustalania ich hierarchii (etap II).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Zastosowane metody</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rPr>
        <w:t>Etap I definiowania potrzeb i problemów czyli partycypacyjna diagnoza</w:t>
      </w:r>
      <w:r w:rsidRPr="00E87A5F">
        <w:rPr>
          <w:rFonts w:ascii="Times New Roman" w:hAnsi="Times New Roman" w:cs="Times New Roman"/>
        </w:rPr>
        <w:t>:</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Funkcjonowanie punktu konsultacyjnego</w:t>
      </w:r>
      <w:r w:rsidRPr="00E87A5F">
        <w:rPr>
          <w:rFonts w:ascii="Times New Roman" w:hAnsi="Times New Roman" w:cs="Times New Roman"/>
        </w:rPr>
        <w:t xml:space="preserve">, który mieścił się w biurze LGD przy ul. Dworcowej 33 w Lubawce  i  w trakcie prac na LSR był otwarty od wtorku do czwartku w godzinach od 9:00-13:00. Punkt konsultacyjny zapewnił dostęp do formularzy ankiet,  uzyskaniu wszelkich informacji o spotkaniach i etapach przygotowywanej LSR, porad jak się zaangażować, wyjaśnień i informacji na temat programu Leader, wnoszenie uwag i pomysłów, doradztwa. W ramach punktu konsultacyjnego dostępny był nr telefonu LGD oraz możliwość składania uwag i ankiet przez </w:t>
      </w:r>
      <w:proofErr w:type="spellStart"/>
      <w:r w:rsidRPr="00E87A5F">
        <w:rPr>
          <w:rFonts w:ascii="Times New Roman" w:hAnsi="Times New Roman" w:cs="Times New Roman"/>
        </w:rPr>
        <w:t>internet</w:t>
      </w:r>
      <w:proofErr w:type="spellEnd"/>
      <w:r w:rsidRPr="00E87A5F">
        <w:rPr>
          <w:rFonts w:ascii="Times New Roman" w:hAnsi="Times New Roman" w:cs="Times New Roman"/>
        </w:rPr>
        <w:t>. Termin realizacji czerwiec-wrzesień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Szerokie informowanie poprzez stronę internetową</w:t>
      </w:r>
      <w:r w:rsidRPr="00E87A5F">
        <w:rPr>
          <w:rFonts w:ascii="Times New Roman" w:hAnsi="Times New Roman" w:cs="Times New Roman"/>
        </w:rPr>
        <w:t xml:space="preserve"> LGD </w:t>
      </w:r>
      <w:hyperlink r:id="rId23" w:history="1">
        <w:r w:rsidRPr="00E87A5F">
          <w:rPr>
            <w:rStyle w:val="Hipercze"/>
            <w:rFonts w:ascii="Times New Roman" w:hAnsi="Times New Roman" w:cs="Times New Roman"/>
            <w:color w:val="auto"/>
            <w:u w:val="none"/>
          </w:rPr>
          <w:t>www.kwiatlnu.pl</w:t>
        </w:r>
      </w:hyperlink>
      <w:r w:rsidRPr="00E87A5F">
        <w:rPr>
          <w:rFonts w:ascii="Times New Roman" w:hAnsi="Times New Roman" w:cs="Times New Roman"/>
        </w:rPr>
        <w:t xml:space="preserve"> oraz poprzez strony internetowe gmin. Na stronie zamieszczano informacje o terminach spotkań konsultacyjnych w gminach, dostępne były ankiety, informowano o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Termin realizacji czerwiec – grudzień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Analiza danych </w:t>
      </w:r>
      <w:r w:rsidRPr="00E87A5F">
        <w:rPr>
          <w:rFonts w:ascii="Times New Roman" w:hAnsi="Times New Roman" w:cs="Times New Roman"/>
        </w:rPr>
        <w:t>(</w:t>
      </w:r>
      <w:proofErr w:type="spellStart"/>
      <w:r w:rsidRPr="00E87A5F">
        <w:rPr>
          <w:rFonts w:ascii="Times New Roman" w:hAnsi="Times New Roman" w:cs="Times New Roman"/>
        </w:rPr>
        <w:t>desk</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reserch</w:t>
      </w:r>
      <w:proofErr w:type="spellEnd"/>
      <w:r w:rsidRPr="00E87A5F">
        <w:rPr>
          <w:rFonts w:ascii="Times New Roman" w:hAnsi="Times New Roman" w:cs="Times New Roman"/>
        </w:rPr>
        <w:t xml:space="preserve">),  pozwoliła uzyskać informacje o strukturze demograficznej lokalnej społeczności, problemach rynku pracy, rozwoju gospodarczym i  ekonomii społecznej oraz potencjalnych grupach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Analiza różnorodnych dokumentów (własne badanie ewaluacyjne, dane GUS, PUP, OPS, informacje samorządów, publikacje) pozwoliła na  zdefiniowanie problemów i potencjału obszaru objętego LSR oraz sformułowanie diagnozy, pomogła także w przygotowaniu narzędzi do dalszych metod badawczych. Termin realizacji lipiec- 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 </w:t>
      </w:r>
      <w:r w:rsidRPr="00E87A5F">
        <w:rPr>
          <w:rFonts w:ascii="Times New Roman" w:hAnsi="Times New Roman" w:cs="Times New Roman"/>
          <w:b/>
        </w:rPr>
        <w:t>Badanie CAWI</w:t>
      </w:r>
      <w:r w:rsidRPr="00E87A5F">
        <w:rPr>
          <w:rFonts w:ascii="Times New Roman" w:hAnsi="Times New Roman" w:cs="Times New Roman"/>
        </w:rPr>
        <w:t xml:space="preserve">  (</w:t>
      </w:r>
      <w:proofErr w:type="spellStart"/>
      <w:r w:rsidRPr="00E87A5F">
        <w:rPr>
          <w:rFonts w:ascii="Times New Roman" w:hAnsi="Times New Roman" w:cs="Times New Roman"/>
        </w:rPr>
        <w:t>Computer</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Assisted</w:t>
      </w:r>
      <w:proofErr w:type="spellEnd"/>
      <w:r w:rsidRPr="00E87A5F">
        <w:rPr>
          <w:rFonts w:ascii="Times New Roman" w:hAnsi="Times New Roman" w:cs="Times New Roman"/>
        </w:rPr>
        <w:t xml:space="preserve"> Web Interview) czyli  wywiad przy pomocy stron www,  - metoda zbierania informacji ilościowych, w której respondent proszony był o wypełnienie ankiety w formie elektronicznej. Ankiety umieszczone były na stronach internetowych: LGD,  gmin członkowskich, </w:t>
      </w:r>
      <w:hyperlink r:id="rId24" w:history="1">
        <w:r w:rsidRPr="00E87A5F">
          <w:rPr>
            <w:rStyle w:val="Hipercze"/>
            <w:rFonts w:ascii="Times New Roman" w:hAnsi="Times New Roman" w:cs="Times New Roman"/>
            <w:color w:val="auto"/>
            <w:u w:val="none"/>
          </w:rPr>
          <w:t>www.powiatowa.info</w:t>
        </w:r>
      </w:hyperlink>
      <w:r w:rsidRPr="00E87A5F">
        <w:rPr>
          <w:rFonts w:ascii="Times New Roman" w:hAnsi="Times New Roman" w:cs="Times New Roman"/>
        </w:rPr>
        <w:t xml:space="preserve"> oraz www.walbrzyszek.com. Ponadto ankiety były udostępnione w wersji papierowej w biurze LGD, urzędach gmin, rozdawane na spotkaniach, co zapewniło również udział społeczności wykluczonej cyfrowo. Zastosowano dwa rodzaje ankiet: ankieta na temat jakości życia, postrzeganych problemów obszaru LGD w tym problemów rynku pracy, kierowana szeroko do mieszkańców dzięki pomocy j.s.t oraz  ankieta kierowana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dzięki pomocy Gminnych Ośrodków Pomocy Społecznej. Drugi rodzaj ankiety </w:t>
      </w:r>
      <w:proofErr w:type="spellStart"/>
      <w:r w:rsidRPr="00E87A5F">
        <w:rPr>
          <w:rFonts w:ascii="Times New Roman" w:hAnsi="Times New Roman" w:cs="Times New Roman"/>
        </w:rPr>
        <w:t>p.n</w:t>
      </w:r>
      <w:proofErr w:type="spellEnd"/>
      <w:r w:rsidRPr="00E87A5F">
        <w:rPr>
          <w:rFonts w:ascii="Times New Roman" w:hAnsi="Times New Roman" w:cs="Times New Roman"/>
        </w:rPr>
        <w:t xml:space="preserve"> „Podziel się swoim pomysłem” kierowany do  organizacji pozarządowych, grup nieformalnych, przedsiębiorców, samorządów, pozwolił na zebranie informacji dotyczących pomysłów na projekty finansowane ze środków LGD w nowej perspektywie finansowej. Zebrano 460  ankiet których podsumowanie opracowano w formie raportu użytecznego przy opracowaniu LSR tj. diagnozy, analizy SWOT, celów i przedsięwzięć, kluczowych grup docelowych, kryteriów wyboru operacji.  Realizacja w okresie lipiec – 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Etap II określanie celów i ustalanie ich hierarchii:</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Po zdefiniowaniu i pogrupowaniu problemów i potrzeb oraz zasobów i potencjałów, jak również elitaryzacji społeczności lokalnej oraz wyłonieniu 4 grup interesów zastosowana została </w:t>
      </w:r>
      <w:r w:rsidRPr="00E87A5F">
        <w:rPr>
          <w:rFonts w:ascii="Times New Roman" w:hAnsi="Times New Roman" w:cs="Times New Roman"/>
          <w:b/>
        </w:rPr>
        <w:t xml:space="preserve">metoda jakościowa wywiady </w:t>
      </w:r>
      <w:r w:rsidRPr="00E87A5F">
        <w:rPr>
          <w:rFonts w:ascii="Times New Roman" w:hAnsi="Times New Roman" w:cs="Times New Roman"/>
          <w:b/>
        </w:rPr>
        <w:lastRenderedPageBreak/>
        <w:t>pogłębione</w:t>
      </w:r>
      <w:r w:rsidRPr="00E87A5F">
        <w:rPr>
          <w:rFonts w:ascii="Times New Roman" w:hAnsi="Times New Roman" w:cs="Times New Roman"/>
        </w:rPr>
        <w:t xml:space="preserve"> (FGI - </w:t>
      </w:r>
      <w:proofErr w:type="spellStart"/>
      <w:r w:rsidRPr="00E87A5F">
        <w:rPr>
          <w:rFonts w:ascii="Times New Roman" w:hAnsi="Times New Roman" w:cs="Times New Roman"/>
        </w:rPr>
        <w:t>Focus</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Group</w:t>
      </w:r>
      <w:proofErr w:type="spellEnd"/>
      <w:r w:rsidRPr="00E87A5F">
        <w:rPr>
          <w:rFonts w:ascii="Times New Roman" w:hAnsi="Times New Roman" w:cs="Times New Roman"/>
        </w:rPr>
        <w:t xml:space="preserve"> Interview). Grupy uczestniczące w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to: JST, NGO, przedsiębiorcy,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Wywiady zostały przeprowadzone na poziomie obszaru objętym LSR i pozwoliły uzyskać szersze spektrum oczekiwań poszczególnych grup, określenia kierunków wsparcia i sposobów rozwiązań najważniejszych problemów z wykorzystaniem lokalnego potencjału. W 4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prowadzonych osobno z udziałem organizacji pozarządowych, przedsiębiorców,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oraz mieszkańców, przedstawicieli samorządów wzięło udział 46 osób. Badania zostały opisane w formie sprawozdań z wywiadów, wykorzystano je również przy formułowaniu SWOT, celów i przedsięwzięć oraz wskaźników  LSR. Były realizowane w okresie  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Otwarte warsztaty </w:t>
      </w:r>
      <w:r w:rsidRPr="00E87A5F">
        <w:rPr>
          <w:rFonts w:ascii="Times New Roman" w:hAnsi="Times New Roman" w:cs="Times New Roman"/>
        </w:rPr>
        <w:t>prowadzone w każdej z  8 gmin LGD. Głównym zadaniem warsztatów było przeprowadzenie analizy SWOT, utworzenie drzew problemów i przekształcenia ich w strukturę celów. W trakcie warsztatów zbierano również pomysły uczestników na projekty. Wnioski z warsztatów zostały wykorzystane przez zespół opracowujący LSR podczas formułowania celów i przedsięwzięć. LSR powstał  w oparciu o zebrany materiał konsultacyjny oraz wyniki badań własnych i ewaluacji. W warsztatach wzięło udział 104 mieszkańców LGD. Termin realizacji sierpień-wrzesień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 xml:space="preserve">Warsztaty Grupy roboczej </w:t>
      </w:r>
      <w:proofErr w:type="spellStart"/>
      <w:r w:rsidRPr="00E87A5F">
        <w:rPr>
          <w:rFonts w:ascii="Times New Roman" w:hAnsi="Times New Roman" w:cs="Times New Roman"/>
          <w:b/>
        </w:rPr>
        <w:t>d.s</w:t>
      </w:r>
      <w:proofErr w:type="spellEnd"/>
      <w:r w:rsidRPr="00E87A5F">
        <w:rPr>
          <w:rFonts w:ascii="Times New Roman" w:hAnsi="Times New Roman" w:cs="Times New Roman"/>
          <w:b/>
        </w:rPr>
        <w:t xml:space="preserve"> strategii.</w:t>
      </w:r>
      <w:r w:rsidRPr="00E87A5F">
        <w:rPr>
          <w:rFonts w:ascii="Times New Roman" w:hAnsi="Times New Roman" w:cs="Times New Roman"/>
        </w:rPr>
        <w:t xml:space="preserve"> Na każdym etapie prac zbierano zgłoszenia osób chętnych które są zainteresowane  pracą w grupie roboczej opowiadającej za ostateczny kształt analizy SWOT, celów i zakresu przedsięwzięć, podziału budżetu LSR. Do zespołu zgłosiły się najbardziej aktywni uczestnicy spotkań otwartych i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m.inn</w:t>
      </w:r>
      <w:proofErr w:type="spellEnd"/>
      <w:r w:rsidRPr="00E87A5F">
        <w:rPr>
          <w:rFonts w:ascii="Times New Roman" w:hAnsi="Times New Roman" w:cs="Times New Roman"/>
        </w:rPr>
        <w:t xml:space="preserve"> przedstawiciele przedsiębiorców, organizacji, samorządów, instytucji publicznych, osób bezrobotnych. W ten sposób zapewniono całkowicie partycypacyjny sposób opracowania LSR. Grupa składała się z 20 osób,  odbyły się 3 spotkania warsztatowe w miesiącu październiku i listopadzie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Zaproszenie do składania opinii</w:t>
      </w:r>
      <w:r w:rsidRPr="00E87A5F">
        <w:rPr>
          <w:rFonts w:ascii="Times New Roman" w:hAnsi="Times New Roman" w:cs="Times New Roman"/>
        </w:rPr>
        <w:t xml:space="preserve"> to ostatnia metoda konsultacji wykorzystana w ostatnim etapie opracowania LSR. Otwarte zaproszenie do składania opinii,  zostało opublikowane na stronach internetowych LGD oraz gmin członkowskich. Rozesłano również projekt dokumentu do organizacji, przedsiębiorców, samorządów i mieszkańców uczestniczących w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warsztatowych z prośbą o przekazanie uwag do biura LGD. Realizacja grudzień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Kontynuacja funkcjonowania punktu konsultacyjnego w ramach biura oraz poprzez strony internetowe, zaproszenie do zgłaszania uwag na piśmie. </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W trakcie II etapu formułowania LSR nadal funkcjonował punkt konsultacyjny prowadzony podobnie jak w I etapie, dodatkowo zainteresowani mogli otrzymać skserowane materiały dotyczące wypracowanych dokumentów LSR, projektu LSR, podsumowań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czy otwartych spotkań warsztatowych.  Na tym etapie do konsultacji przekazano projekt LSR który został rozesłany do uczestników spotkań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organizacji, samorządów, przedsiębiorców z prośbą o zgłaszanie uwag. Realizacja wrzesień – grudzień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Nad poszczególnymi etapami  prac czuwał </w:t>
      </w:r>
      <w:r w:rsidRPr="00E87A5F">
        <w:rPr>
          <w:rFonts w:ascii="Times New Roman" w:hAnsi="Times New Roman" w:cs="Times New Roman"/>
          <w:b/>
        </w:rPr>
        <w:t>Zespół roboczy</w:t>
      </w:r>
      <w:r w:rsidRPr="00E87A5F">
        <w:rPr>
          <w:rFonts w:ascii="Times New Roman" w:hAnsi="Times New Roman" w:cs="Times New Roman"/>
        </w:rPr>
        <w:t xml:space="preserve"> złożony z pracowników biura, zarządu oraz aktywnych mieszkańców LGD. Zespół odpowiadał za analizę materiałów z ankietyzacji, spotkań, uwag z zaproszenia do składania opinii oraz ostateczny kształt dokumentu LSR. Zebrane uwagi z zaproszenia do składania opinii poddano analizie  a zespół roboczy zdecydował które z uwag należy uwzględnić w LSR. W ramach wszystkich metod konsultacyjnych opracowano raporty i protokoły zawierające analizę oraz uzasadnienie przyjęcia bądź odrzucenia wniosków zgłaszanych w procesie konsultacji.</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Opis metod angażowania społeczności lokalnej w proces realizacji LSR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Społeczność lokalna będzie również włączana w proces wdrażania LSR oraz monitorowania i oceny realizacji LSR. Służyć temu będzie opracowany plan komunikacji opisany w rozdziale IX  LSR, który ma zapewnić szerokie informowanie ale również włączenie głównych grup docelowych w ewaluację i aktualizację LSR – rozdział XII.</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W ramach komunikacji, monitoringu i ewaluacji przewidziano m.in. narzędzia angażowania społeczności lokalnej:</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szerokie informowanie poprzez kanały informacyjne, które przez mieszkańców zostały określone w ankietyzacji jako skuteczne /</w:t>
      </w:r>
      <w:proofErr w:type="spellStart"/>
      <w:r w:rsidRPr="00E87A5F">
        <w:rPr>
          <w:rFonts w:ascii="Times New Roman" w:hAnsi="Times New Roman" w:cs="Times New Roman"/>
        </w:rPr>
        <w:t>internet</w:t>
      </w:r>
      <w:proofErr w:type="spellEnd"/>
      <w:r w:rsidRPr="00E87A5F">
        <w:rPr>
          <w:rFonts w:ascii="Times New Roman" w:hAnsi="Times New Roman" w:cs="Times New Roman"/>
        </w:rPr>
        <w:t>, kontakt osobisty, mailing, ogłoszenia w prasie, biuletyn, Głos Leadera,  bezpośrednie spotkania, warsztaty, konsultacje, doradztwo/,</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badanie satysfakcji wnioskodawców poprzez ankietyzację i ocenę jakości pomocy świadczonej przez LGD,</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informowanie mieszkańców o osiągniętych efektach realizacji LSR w okresie wdrażania strategii w tym zmianach społecznych dokonanych przez wdrażanie projektów,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włączenie społeczności w  ewaluację oraz aktualizację LSR poprzez organizację otwartego spotkania warsztatowego w którym będą mogli uczestniczyć członkowie Grupy roboczej powołanej w ramach przygotowania LSR oraz zainteresowani mieszkańcy w tym grupy </w:t>
      </w:r>
      <w:proofErr w:type="spellStart"/>
      <w:r w:rsidRPr="00E87A5F">
        <w:rPr>
          <w:rFonts w:ascii="Times New Roman" w:hAnsi="Times New Roman" w:cs="Times New Roman"/>
        </w:rPr>
        <w:t>defowaryzowane</w:t>
      </w:r>
      <w:proofErr w:type="spellEnd"/>
      <w:r w:rsidRPr="00E87A5F">
        <w:rPr>
          <w:rFonts w:ascii="Times New Roman" w:hAnsi="Times New Roman" w:cs="Times New Roman"/>
        </w:rPr>
        <w:t>, organizacje , przedsiębiorcy, samorządy,</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systematyczne monitorowanie operacji pod kątem osiąganych rezultatów zmiany społecznej oraz ekonomicznej i trwałości na obszarze objętym LSR / gromadzenie wskaźników, danych z ankiet kierowanych do grup docelowych i wnioskodawców.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Dzięki tym narzędziom zostanie zapewniona większa partycypacja w poszczególnych obszarach wdrażania strategii, a głos mieszkańców i odbiorców pomocy będzie traktowany jako niezbędny element ewaluacji skuteczności podejmowanych działań. </w:t>
      </w:r>
    </w:p>
    <w:p w:rsidR="005F5E3C" w:rsidRPr="00E87A5F" w:rsidRDefault="005F5E3C" w:rsidP="005F5E3C">
      <w:pPr>
        <w:pStyle w:val="Nagwek1"/>
        <w:keepLines w:val="0"/>
        <w:tabs>
          <w:tab w:val="num" w:pos="0"/>
        </w:tabs>
        <w:spacing w:before="240" w:after="60" w:line="240" w:lineRule="auto"/>
        <w:ind w:left="432" w:hanging="432"/>
        <w:jc w:val="both"/>
        <w:rPr>
          <w:rFonts w:ascii="Times New Roman" w:hAnsi="Times New Roman" w:cs="Times New Roman"/>
          <w:sz w:val="22"/>
          <w:szCs w:val="22"/>
        </w:rPr>
      </w:pPr>
      <w:bookmarkStart w:id="35" w:name="_Toc433797019"/>
      <w:bookmarkStart w:id="36" w:name="_Toc439184047"/>
      <w:r w:rsidRPr="00E87A5F">
        <w:rPr>
          <w:rFonts w:ascii="Times New Roman" w:hAnsi="Times New Roman" w:cs="Times New Roman"/>
          <w:sz w:val="22"/>
          <w:szCs w:val="22"/>
        </w:rPr>
        <w:lastRenderedPageBreak/>
        <w:t>Rozdział III Diagnoza – opis obszaru i ludności</w:t>
      </w:r>
      <w:bookmarkEnd w:id="35"/>
      <w:bookmarkEnd w:id="36"/>
      <w:r w:rsidRPr="00E87A5F">
        <w:rPr>
          <w:rFonts w:ascii="Times New Roman" w:hAnsi="Times New Roman" w:cs="Times New Roman"/>
          <w:sz w:val="22"/>
          <w:szCs w:val="22"/>
        </w:rPr>
        <w:t xml:space="preserve"> </w:t>
      </w:r>
    </w:p>
    <w:p w:rsidR="005F5E3C" w:rsidRPr="00E87A5F" w:rsidRDefault="005F5E3C" w:rsidP="005F5E3C">
      <w:pPr>
        <w:rPr>
          <w:rFonts w:ascii="Times New Roman" w:hAnsi="Times New Roman" w:cs="Times New Roman"/>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1. Potencjał demograficzny</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7" w:name="_Toc439184048"/>
      <w:r w:rsidRPr="00E87A5F">
        <w:rPr>
          <w:rFonts w:ascii="Times New Roman" w:hAnsi="Times New Roman" w:cs="Times New Roman"/>
          <w:color w:val="000000"/>
        </w:rPr>
        <w:t>Obszar ośmiu gmin objętym działaniem LGD, według stanu na dzień 31 grudnia 2013 r., zamieszkiwało 63 235 mieszkańców, co stanowi wartość większą aniżeli średnia liczba mieszkańców objętych LSR/LSROR w latach 2007 – 2013 w województwie dolnośląskim, która wynosi 62 910,42. Najwięcej osób mieszkało w gminie Boguszów Gorce (16 216 ), natomiast najmniej w gminach Stare Bogaczowice ( 4254 ) i Marciszów ( 4642 ). Potencjał demograficzny obszaru na przestrzeni ostatnich lat uległ zmniejszeniu co dotyczy głównie gmin: Lubawka, Mieroszów i Boguszów Gorce. W pozostałych gminach następuje powolny wzrost populacji mieszkańców.</w:t>
      </w:r>
      <w:bookmarkEnd w:id="37"/>
      <w:r w:rsidRPr="00E87A5F">
        <w:rPr>
          <w:rFonts w:ascii="Times New Roman" w:hAnsi="Times New Roman" w:cs="Times New Roman"/>
          <w:color w:val="000000"/>
        </w:rPr>
        <w:t xml:space="preserve"> </w:t>
      </w:r>
    </w:p>
    <w:p w:rsidR="005F5E3C" w:rsidRPr="00E87A5F" w:rsidRDefault="005F5E3C" w:rsidP="005F5E3C">
      <w:pPr>
        <w:autoSpaceDE w:val="0"/>
        <w:autoSpaceDN w:val="0"/>
        <w:adjustRightInd w:val="0"/>
        <w:spacing w:after="0" w:line="240" w:lineRule="auto"/>
        <w:ind w:firstLine="708"/>
        <w:jc w:val="both"/>
        <w:outlineLvl w:val="1"/>
        <w:rPr>
          <w:rFonts w:ascii="Times New Roman" w:hAnsi="Times New Roman" w:cs="Times New Roman"/>
          <w:color w:val="000000"/>
        </w:rPr>
      </w:pPr>
    </w:p>
    <w:p w:rsidR="005F5E3C" w:rsidRPr="00E87A5F" w:rsidRDefault="005F5E3C" w:rsidP="005F5E3C">
      <w:pPr>
        <w:pStyle w:val="Legenda"/>
        <w:rPr>
          <w:rFonts w:ascii="Times New Roman" w:hAnsi="Times New Roman"/>
          <w:color w:val="000000"/>
          <w:sz w:val="22"/>
          <w:szCs w:val="22"/>
        </w:rPr>
      </w:pPr>
      <w:r w:rsidRPr="00E87A5F">
        <w:rPr>
          <w:rFonts w:ascii="Times New Roman" w:hAnsi="Times New Roman"/>
          <w:color w:val="000000"/>
          <w:sz w:val="22"/>
          <w:szCs w:val="22"/>
        </w:rPr>
        <w:t xml:space="preserve"> </w:t>
      </w: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3</w:t>
      </w:r>
      <w:r w:rsidR="004F4A74" w:rsidRPr="00E87A5F">
        <w:rPr>
          <w:rFonts w:ascii="Times New Roman" w:hAnsi="Times New Roman"/>
          <w:sz w:val="22"/>
          <w:szCs w:val="22"/>
        </w:rPr>
        <w:fldChar w:fldCharType="end"/>
      </w:r>
      <w:r w:rsidRPr="00E87A5F">
        <w:rPr>
          <w:rFonts w:ascii="Times New Roman" w:hAnsi="Times New Roman"/>
          <w:sz w:val="22"/>
          <w:szCs w:val="22"/>
        </w:rPr>
        <w:t>. Stan ludności</w:t>
      </w:r>
    </w:p>
    <w:tbl>
      <w:tblPr>
        <w:tblW w:w="10225"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3885"/>
        <w:gridCol w:w="960"/>
        <w:gridCol w:w="960"/>
        <w:gridCol w:w="960"/>
        <w:gridCol w:w="960"/>
        <w:gridCol w:w="960"/>
        <w:gridCol w:w="1540"/>
      </w:tblGrid>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2009</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2011</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154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2013 - 2009</w:t>
            </w:r>
          </w:p>
        </w:tc>
      </w:tr>
      <w:tr w:rsidR="005F5E3C" w:rsidRPr="00E87A5F" w:rsidTr="00067FD0">
        <w:trPr>
          <w:trHeight w:val="315"/>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154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Lubawka</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11571</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11623</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11560</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11477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11345</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-226</w:t>
            </w:r>
          </w:p>
        </w:tc>
      </w:tr>
      <w:tr w:rsidR="005F5E3C" w:rsidRPr="00E87A5F" w:rsidTr="00067FD0">
        <w:trPr>
          <w:trHeight w:val="253"/>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Kamienna Góra</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8966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8915</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9038</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72</w:t>
            </w:r>
          </w:p>
        </w:tc>
      </w:tr>
      <w:tr w:rsidR="005F5E3C" w:rsidRPr="00E87A5F" w:rsidTr="00067FD0">
        <w:trPr>
          <w:trHeight w:val="269"/>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Marciszów</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4669</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4710</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4661</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4642</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-27</w:t>
            </w:r>
          </w:p>
        </w:tc>
      </w:tr>
      <w:tr w:rsidR="005F5E3C" w:rsidRPr="00E87A5F" w:rsidTr="00067FD0">
        <w:trPr>
          <w:trHeight w:val="269"/>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Mieroszów</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7356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7407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7313</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7212</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7106</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-250</w:t>
            </w:r>
          </w:p>
        </w:tc>
      </w:tr>
      <w:tr w:rsidR="005F5E3C" w:rsidRPr="00E87A5F" w:rsidTr="00067FD0">
        <w:trPr>
          <w:trHeight w:val="269"/>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585"/>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Stare Bogaczowice</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4208</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4253</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4245</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4254</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46</w:t>
            </w:r>
          </w:p>
        </w:tc>
      </w:tr>
      <w:tr w:rsidR="005F5E3C" w:rsidRPr="00E87A5F" w:rsidTr="00067FD0">
        <w:trPr>
          <w:trHeight w:val="253"/>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Czarny Bór</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4813</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4846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4855</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4850</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4838</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w:t>
            </w:r>
          </w:p>
        </w:tc>
      </w:tr>
      <w:tr w:rsidR="005F5E3C" w:rsidRPr="00E87A5F" w:rsidTr="00067FD0">
        <w:trPr>
          <w:trHeight w:val="315"/>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Boguszów Gorce</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16386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16614</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16520</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16417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16216</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-170</w:t>
            </w:r>
          </w:p>
        </w:tc>
      </w:tr>
      <w:tr w:rsidR="005F5E3C" w:rsidRPr="00E87A5F" w:rsidTr="00067FD0">
        <w:trPr>
          <w:trHeight w:val="315"/>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Szczawno – Zdrój</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5607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5897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5946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5882</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5796</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189</w:t>
            </w:r>
          </w:p>
        </w:tc>
      </w:tr>
      <w:tr w:rsidR="005F5E3C" w:rsidRPr="00E87A5F" w:rsidTr="00067FD0">
        <w:trPr>
          <w:trHeight w:val="315"/>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15"/>
          <w:jc w:val="center"/>
        </w:trPr>
        <w:tc>
          <w:tcPr>
            <w:tcW w:w="3885" w:type="dxa"/>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razem</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63576</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64 265</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64172</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63 751</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63 235</w:t>
            </w:r>
          </w:p>
        </w:tc>
        <w:tc>
          <w:tcPr>
            <w:tcW w:w="1540" w:type="dxa"/>
            <w:shd w:val="clear" w:color="auto" w:fill="auto"/>
            <w:hideMark/>
          </w:tcPr>
          <w:p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- 341</w:t>
            </w:r>
          </w:p>
        </w:tc>
      </w:tr>
    </w:tbl>
    <w:p w:rsidR="005F5E3C" w:rsidRPr="00E87A5F" w:rsidRDefault="005F5E3C" w:rsidP="005F5E3C">
      <w:pPr>
        <w:spacing w:line="240" w:lineRule="auto"/>
        <w:jc w:val="both"/>
        <w:rPr>
          <w:rFonts w:ascii="Times New Roman" w:hAnsi="Times New Roman" w:cs="Times New Roman"/>
          <w:i/>
          <w:color w:val="000000"/>
        </w:rPr>
      </w:pPr>
      <w:r w:rsidRPr="00E87A5F">
        <w:rPr>
          <w:rFonts w:ascii="Times New Roman" w:hAnsi="Times New Roman" w:cs="Times New Roman"/>
          <w:i/>
          <w:color w:val="000000"/>
        </w:rPr>
        <w:t xml:space="preserve"> Źródło: Bank Danych Lokalnych GUS</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8" w:name="_Toc439184049"/>
      <w:r w:rsidRPr="00E87A5F">
        <w:rPr>
          <w:rFonts w:ascii="Times New Roman" w:hAnsi="Times New Roman" w:cs="Times New Roman"/>
          <w:color w:val="000000"/>
        </w:rPr>
        <w:t>Istotne znaczenie dla obszaru LGD ma struktura wiekowa ludności, określana według ekonomicznych grup wiekowych.  Na terenie LGD, podobnie jak w całym kraju, osoby w wieku produkcyjnym stanowią 64 % ogółu mieszkańców, w wieku przedprodukcyjnym czyli poniżej 17 lat – 17%, natomiast odsetek osób w wieku poprodukcyjnym wynosi 19 %.  Liczba osób w wieku przedprodukcyjnym niższa od liczby osób starszych – w wieku poprodukcyjnym, potwierdza istnienie problemu czy też zjawiska starzejącego się społeczeństwa. W odpowiedzi na ten fakt część działań LSR o charakterze działań miękkich będzie skierowana właśnie do grupy osób w wieku poprodukcyjnym. Jednocześnie wskazane jest również aby rozwój przedsiębiorstw kierunkowany był na usługi dla seniorów. Na podstawie analizy potencjału ludności widać wyraźnie że blisko połowa mieszkańców ( 30 632 ) LGD to osoby zamieszkujące tereny wiejskie dlatego stanowić ona będzie ważną grupę z punktu widzenia LSR.</w:t>
      </w:r>
      <w:bookmarkEnd w:id="38"/>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4</w:t>
      </w:r>
      <w:r w:rsidR="004F4A74" w:rsidRPr="00E87A5F">
        <w:rPr>
          <w:rFonts w:ascii="Times New Roman" w:hAnsi="Times New Roman"/>
          <w:sz w:val="22"/>
          <w:szCs w:val="22"/>
        </w:rPr>
        <w:fldChar w:fldCharType="end"/>
      </w:r>
      <w:r w:rsidRPr="00E87A5F">
        <w:rPr>
          <w:rFonts w:ascii="Times New Roman" w:hAnsi="Times New Roman"/>
          <w:sz w:val="22"/>
          <w:szCs w:val="22"/>
        </w:rPr>
        <w:t>. Struktura wg. grup ekonomicznych</w:t>
      </w:r>
    </w:p>
    <w:tbl>
      <w:tblPr>
        <w:tblW w:w="5954" w:type="dxa"/>
        <w:tblInd w:w="70"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2835"/>
        <w:gridCol w:w="1985"/>
        <w:gridCol w:w="1134"/>
      </w:tblGrid>
      <w:tr w:rsidR="005F5E3C" w:rsidRPr="00E87A5F" w:rsidTr="00067FD0">
        <w:trPr>
          <w:trHeight w:val="300"/>
        </w:trPr>
        <w:tc>
          <w:tcPr>
            <w:tcW w:w="283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Ludność w wieku:</w:t>
            </w:r>
          </w:p>
        </w:tc>
        <w:tc>
          <w:tcPr>
            <w:tcW w:w="198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Obszar LGD w tys.</w:t>
            </w:r>
          </w:p>
        </w:tc>
        <w:tc>
          <w:tcPr>
            <w:tcW w:w="1134"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t>
            </w:r>
          </w:p>
        </w:tc>
      </w:tr>
      <w:tr w:rsidR="005F5E3C" w:rsidRPr="00E87A5F" w:rsidTr="00067FD0">
        <w:trPr>
          <w:trHeight w:val="300"/>
        </w:trPr>
        <w:tc>
          <w:tcPr>
            <w:tcW w:w="283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przedprodukcyjnym</w:t>
            </w:r>
          </w:p>
        </w:tc>
        <w:tc>
          <w:tcPr>
            <w:tcW w:w="1985"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10 833</w:t>
            </w:r>
          </w:p>
        </w:tc>
        <w:tc>
          <w:tcPr>
            <w:tcW w:w="113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r>
      <w:tr w:rsidR="005F5E3C" w:rsidRPr="00E87A5F" w:rsidTr="00067FD0">
        <w:trPr>
          <w:trHeight w:val="300"/>
        </w:trPr>
        <w:tc>
          <w:tcPr>
            <w:tcW w:w="283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produkcyjnym</w:t>
            </w:r>
          </w:p>
        </w:tc>
        <w:tc>
          <w:tcPr>
            <w:tcW w:w="1985"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40 695</w:t>
            </w:r>
          </w:p>
        </w:tc>
        <w:tc>
          <w:tcPr>
            <w:tcW w:w="113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64</w:t>
            </w:r>
          </w:p>
        </w:tc>
      </w:tr>
      <w:tr w:rsidR="005F5E3C" w:rsidRPr="00E87A5F" w:rsidTr="00067FD0">
        <w:trPr>
          <w:trHeight w:val="300"/>
        </w:trPr>
        <w:tc>
          <w:tcPr>
            <w:tcW w:w="283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poprodukcyjnym</w:t>
            </w:r>
          </w:p>
        </w:tc>
        <w:tc>
          <w:tcPr>
            <w:tcW w:w="1985"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11 707</w:t>
            </w:r>
          </w:p>
        </w:tc>
        <w:tc>
          <w:tcPr>
            <w:tcW w:w="113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r>
      <w:tr w:rsidR="005F5E3C" w:rsidRPr="00E87A5F" w:rsidTr="00067FD0">
        <w:trPr>
          <w:trHeight w:val="300"/>
        </w:trPr>
        <w:tc>
          <w:tcPr>
            <w:tcW w:w="2835" w:type="dxa"/>
            <w:shd w:val="clear" w:color="auto" w:fill="8DB3E2" w:themeFill="text2" w:themeFillTint="66"/>
            <w:noWrap/>
            <w:vAlign w:val="bottom"/>
          </w:tcPr>
          <w:p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Razem</w:t>
            </w:r>
          </w:p>
        </w:tc>
        <w:tc>
          <w:tcPr>
            <w:tcW w:w="1985"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63 235</w:t>
            </w:r>
          </w:p>
        </w:tc>
        <w:tc>
          <w:tcPr>
            <w:tcW w:w="1134"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100</w:t>
            </w:r>
          </w:p>
        </w:tc>
      </w:tr>
    </w:tbl>
    <w:p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Bank Danych Lokalnych GUS</w:t>
      </w: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39" w:name="_Toc439184050"/>
      <w:r w:rsidRPr="00E87A5F">
        <w:rPr>
          <w:rFonts w:ascii="Times New Roman" w:hAnsi="Times New Roman" w:cs="Times New Roman"/>
          <w:color w:val="000000"/>
        </w:rPr>
        <w:lastRenderedPageBreak/>
        <w:t xml:space="preserve">Kolejnym czynnikiem determinującym potencjał demograficzny jest zmiana natężenia urodzeń i zgonów tzw. przyrost naturalny.  W roku 2013 we wszystkich gminach LGD występował ujemny przyrost, najmniejszy w gminie Czarny Bór ( - 2 ) największy w gminie Mieroszów ( -58 ) i Boguszowie Gorce ( -78 ). Biorąc pod uwagę saldo migracji dla gmin LGD w 2014 roku było ujemne i wyniosło 179 osób. W tym samym roku dla województwa dolnośląskiego wskaźnik ten był dodatni i wyniósł 556 osób. </w:t>
      </w:r>
      <w:r w:rsidRPr="00E87A5F">
        <w:rPr>
          <w:rFonts w:ascii="Times New Roman" w:hAnsi="Times New Roman" w:cs="Times New Roman"/>
        </w:rPr>
        <w:t>Kolejny raz potwierdza się niekorzystna dla naszego regionu liczba ludności i problem ze zmniejszająca się populacją, której głównym czynnikiem jest migracja ludności w poszukiwaniu lepszych warunków życia.</w:t>
      </w:r>
      <w:bookmarkEnd w:id="39"/>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rsidR="005F5E3C" w:rsidRPr="00E87A5F" w:rsidRDefault="005F5E3C" w:rsidP="005F5E3C">
      <w:pPr>
        <w:pStyle w:val="Default"/>
        <w:numPr>
          <w:ilvl w:val="0"/>
          <w:numId w:val="1"/>
        </w:numPr>
        <w:jc w:val="both"/>
        <w:outlineLvl w:val="1"/>
        <w:rPr>
          <w:b/>
          <w:sz w:val="22"/>
          <w:szCs w:val="22"/>
        </w:rPr>
      </w:pPr>
      <w:bookmarkStart w:id="40" w:name="_Toc433797020"/>
      <w:bookmarkStart w:id="41" w:name="_Toc439184051"/>
      <w:r w:rsidRPr="00E87A5F">
        <w:rPr>
          <w:b/>
          <w:sz w:val="22"/>
          <w:szCs w:val="22"/>
        </w:rPr>
        <w:t>Grupy docelowe szczególnie istotne z punktu widzenia realizacji LSR</w:t>
      </w:r>
      <w:bookmarkEnd w:id="40"/>
      <w:bookmarkEnd w:id="41"/>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Główne grupy docelowe z punktu widzenia realizacji LSR zostały określone w oparciu o szerokie, partycypacyjne rozpoznanie potrzeb i problemów obszaru LGD, przeprowadzone przy zastosowaniu m.in.: - ankietyzacji dotyczącej badania jakości życia oraz postrzeganych problemów przez społeczności lokalne oraz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tj. osoby bezrobotne,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otwartych warsztatów dla mieszkańców prowadzonych w każdej z gmin LGD,</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wywiadów pogłębionych w formie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 których uczestniczyli przedstawiciele mieszkańców 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przedsiębiorcy, organizacje pozarządowe oraz przedstawiciele j.s.t.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diagnozy obszaru na podstawie danych i informacji pozyskanych z różnych źródeł.</w:t>
      </w:r>
    </w:p>
    <w:p w:rsidR="002D54D8" w:rsidRPr="002D54D8" w:rsidRDefault="002D54D8" w:rsidP="005F5E3C">
      <w:pPr>
        <w:spacing w:after="0" w:line="240" w:lineRule="auto"/>
        <w:jc w:val="both"/>
        <w:rPr>
          <w:rFonts w:ascii="Times New Roman" w:hAnsi="Times New Roman" w:cs="Times New Roman"/>
        </w:rPr>
      </w:pPr>
      <w:r w:rsidRPr="002D54D8">
        <w:rPr>
          <w:rFonts w:ascii="Times New Roman" w:hAnsi="Times New Roman" w:cs="Times New Roman"/>
        </w:rPr>
        <w:t xml:space="preserve">W trakcie tych prac określono grupę docelową jako: osoby fizyczne oraz osoby z </w:t>
      </w:r>
      <w:r w:rsidRPr="002D54D8">
        <w:rPr>
          <w:rFonts w:ascii="Times New Roman" w:hAnsi="Times New Roman" w:cs="Times New Roman"/>
          <w:b/>
        </w:rPr>
        <w:t xml:space="preserve">grupy </w:t>
      </w:r>
      <w:proofErr w:type="spellStart"/>
      <w:r w:rsidRPr="002D54D8">
        <w:rPr>
          <w:rFonts w:ascii="Times New Roman" w:hAnsi="Times New Roman" w:cs="Times New Roman"/>
          <w:b/>
        </w:rPr>
        <w:t>defaworyzowanej</w:t>
      </w:r>
      <w:proofErr w:type="spellEnd"/>
      <w:r w:rsidRPr="002D54D8">
        <w:rPr>
          <w:rFonts w:ascii="Times New Roman" w:hAnsi="Times New Roman" w:cs="Times New Roman"/>
        </w:rPr>
        <w:t xml:space="preserve">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bezrobotne zarejestrowane w PUP, osoby długotrwale bezrobotne mające trudności w powrocie na rynek pracy ze względu na bariery mentalne, niechęć do podejmowania aktywności zawodowej, niskie wykształcenie lub brak odpowiednich kwalifikacji, młode  osoby bezrobotne do 35 r. życia, które chcą być aktywne zawodowo jednak wykształcenie lub niskie zarobki są przeszkodą w znalezieniu odpowiedniej pracy oraz osoby bezrobotne mieszkające na wsi dla których barierą jest niska mobilność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problemy z dojazdem do miejscowości w których można skorzystać z ofert pracy. Osoby te otrzymają wszechstronne  wsparcie w zakresie zakładania i prowadzenia działalności gospodarczej.</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mieszkańców: 74,8% respondentów określiło że największe problemy w miejscowości to niewystarczająca ilość miejsc pracy, a dla 61,3 % migracje zarobkowe</w:t>
      </w:r>
      <w:r w:rsidR="0028649E">
        <w:rPr>
          <w:rFonts w:ascii="Times New Roman" w:hAnsi="Times New Roman" w:cs="Times New Roman"/>
        </w:rPr>
        <w: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Kolejną grupa docelową będą</w:t>
      </w:r>
      <w:r w:rsidRPr="00E87A5F">
        <w:rPr>
          <w:rFonts w:ascii="Times New Roman" w:hAnsi="Times New Roman" w:cs="Times New Roman"/>
          <w:b/>
        </w:rPr>
        <w:t xml:space="preserve"> przedsiębiorcy</w:t>
      </w:r>
      <w:r w:rsidRPr="00E87A5F">
        <w:rPr>
          <w:rFonts w:ascii="Times New Roman" w:hAnsi="Times New Roman" w:cs="Times New Roman"/>
        </w:rPr>
        <w:t xml:space="preserve"> zainteresowani rozwijaniem swojej działalności oraz tworzeniem miejsc pracy. Osoby te otrzymają wsparcie finansujące rozwój usług i produktów w kluczowych dla regionu branżach m.in. w turystyce, rekreacji, gastronomii, transporcie, premiowane również będą innowacje podejmowane przez tę grupę.</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przedsiębiorców: 47,4% respondentów zgłosiło zainteresowanie rozwijaniem działalności gospodarczej, dla 31,6% respondentów rozwój przedsiębiorczości to ważny kierunek aktywizacji ekonomicznej obszaru.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Istotną  grupą docelową będą </w:t>
      </w:r>
      <w:r w:rsidRPr="00E87A5F">
        <w:rPr>
          <w:rFonts w:ascii="Times New Roman" w:hAnsi="Times New Roman" w:cs="Times New Roman"/>
          <w:b/>
        </w:rPr>
        <w:t>organizacje pozarządowe</w:t>
      </w:r>
      <w:r w:rsidRPr="00E87A5F">
        <w:rPr>
          <w:rFonts w:ascii="Times New Roman" w:hAnsi="Times New Roman" w:cs="Times New Roman"/>
        </w:rPr>
        <w:t>, które są miejscem ważnej aktywności społecznej, jednak liczne deficyty dotyczące kompetencji w zakresie pozyskiwania środków finansowych, prowadzenia działalności odpłatnej, wypalenie liderów, zbyt małe zaangażowanie osób młodych powodują słabe wykorzystanie potencjału sektora pozarządowego w rozwoju obszaru oraz przeciwdziałaniu negatywnym zjawiskom klimatycznym które są obecne na terenie LGD.</w:t>
      </w:r>
      <w:r w:rsidR="00FC37C9" w:rsidRPr="00FC37C9">
        <w:t xml:space="preserve"> </w:t>
      </w:r>
      <w:r w:rsidR="00FC37C9" w:rsidRPr="00FC37C9">
        <w:rPr>
          <w:rFonts w:ascii="Times New Roman" w:hAnsi="Times New Roman" w:cs="Times New Roman"/>
        </w:rPr>
        <w:t>W tych obszarach wnioskodawcami będą mogły by</w:t>
      </w:r>
      <w:r w:rsidR="002279EE">
        <w:rPr>
          <w:rFonts w:ascii="Times New Roman" w:hAnsi="Times New Roman" w:cs="Times New Roman"/>
        </w:rPr>
        <w:t>ć  również instytucje publiczne i samorządowe instytucje kultury</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Organizacje pozarządowe w trakcie otwartych spotkań warsztatowych oraz </w:t>
      </w:r>
      <w:proofErr w:type="spellStart"/>
      <w:r w:rsidRPr="00E87A5F">
        <w:rPr>
          <w:rFonts w:ascii="Times New Roman" w:hAnsi="Times New Roman" w:cs="Times New Roman"/>
        </w:rPr>
        <w:t>focusu</w:t>
      </w:r>
      <w:proofErr w:type="spellEnd"/>
      <w:r w:rsidRPr="00E87A5F">
        <w:rPr>
          <w:rFonts w:ascii="Times New Roman" w:hAnsi="Times New Roman" w:cs="Times New Roman"/>
        </w:rPr>
        <w:t xml:space="preserve"> potwierdziły gotowość kierowania działań do mieszkańców, seniorów dzieci i młodzieży czyli grup mających największe potrzeby integracji, aktywizacji, edukacji ekologicznej i oferty kulturalnej. W ramach tej grupy wzmocnione również zostaną działania wspierające udział </w:t>
      </w:r>
      <w:proofErr w:type="spellStart"/>
      <w:r w:rsidRPr="00E87A5F">
        <w:rPr>
          <w:rFonts w:ascii="Times New Roman" w:hAnsi="Times New Roman" w:cs="Times New Roman"/>
        </w:rPr>
        <w:t>mieszkanców</w:t>
      </w:r>
      <w:proofErr w:type="spellEnd"/>
      <w:r w:rsidRPr="00E87A5F">
        <w:rPr>
          <w:rFonts w:ascii="Times New Roman" w:hAnsi="Times New Roman" w:cs="Times New Roman"/>
        </w:rPr>
        <w:t xml:space="preserve"> w decyzjach lokalnych w tym dotyczących LSR.</w:t>
      </w:r>
    </w:p>
    <w:p w:rsidR="000C6A3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Inwestycje w przestrzeni publicznej będą mogły podejmować instytucje publiczne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w:t>
      </w:r>
      <w:r w:rsidRPr="00E87A5F">
        <w:rPr>
          <w:rFonts w:ascii="Times New Roman" w:hAnsi="Times New Roman" w:cs="Times New Roman"/>
          <w:b/>
        </w:rPr>
        <w:t>jednostk</w:t>
      </w:r>
      <w:r w:rsidRPr="00E87A5F">
        <w:rPr>
          <w:rFonts w:ascii="Times New Roman" w:hAnsi="Times New Roman" w:cs="Times New Roman"/>
        </w:rPr>
        <w:t xml:space="preserve">i </w:t>
      </w:r>
      <w:r w:rsidRPr="00E87A5F">
        <w:rPr>
          <w:rFonts w:ascii="Times New Roman" w:hAnsi="Times New Roman" w:cs="Times New Roman"/>
          <w:b/>
        </w:rPr>
        <w:t>samorządu terytorialnego</w:t>
      </w:r>
      <w:r w:rsidR="002D54D8">
        <w:rPr>
          <w:rFonts w:ascii="Times New Roman" w:hAnsi="Times New Roman" w:cs="Times New Roman"/>
          <w:b/>
        </w:rPr>
        <w:t xml:space="preserve"> </w:t>
      </w:r>
      <w:r w:rsidR="002D54D8" w:rsidRPr="002D54D8">
        <w:rPr>
          <w:rFonts w:ascii="Times New Roman" w:hAnsi="Times New Roman" w:cs="Times New Roman"/>
          <w:b/>
        </w:rPr>
        <w:t>i organizacje pozarządowe</w:t>
      </w:r>
      <w:r w:rsidRPr="00E87A5F">
        <w:rPr>
          <w:rFonts w:ascii="Times New Roman" w:hAnsi="Times New Roman" w:cs="Times New Roman"/>
        </w:rPr>
        <w:t xml:space="preserve">. Uczestnicy konsultacji określili że zagospodarowanie przestrzeni publicznej, infrastruktury turystycznej, obiektów dziedzictwa kulturowego i przyrodniczego jest nie wystarczające i wymaga doinwestowania w miejscowościach gdzie występują takie braki. </w:t>
      </w:r>
    </w:p>
    <w:p w:rsidR="005F5E3C" w:rsidRPr="00E87A5F" w:rsidRDefault="000C6A32" w:rsidP="005F5E3C">
      <w:pPr>
        <w:spacing w:after="0" w:line="240" w:lineRule="auto"/>
        <w:jc w:val="both"/>
        <w:rPr>
          <w:rFonts w:ascii="Times New Roman" w:hAnsi="Times New Roman" w:cs="Times New Roman"/>
        </w:rPr>
      </w:pPr>
      <w:r>
        <w:rPr>
          <w:rFonts w:ascii="Times New Roman" w:hAnsi="Times New Roman" w:cs="Times New Roman"/>
        </w:rPr>
        <w:t>K</w:t>
      </w:r>
      <w:r w:rsidR="005F5E3C" w:rsidRPr="00E87A5F">
        <w:rPr>
          <w:rFonts w:ascii="Times New Roman" w:hAnsi="Times New Roman" w:cs="Times New Roman"/>
        </w:rPr>
        <w:t>ierunek wsparcia został określony poprzez ankietyzację: 36,8% respondentów wskazało na potrzebę budowy ogólnodostępnej niekomercyjnej infrastruktury rekreacyjnej, turystycznej, a 36,8% zgłosiło potrzebę zachowania dziedzictwa kulturowego.</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Kluczowe problemy wskazane przez grupy docelowe oraz obszary interwencji zostały zestawione poniżej:</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5</w:t>
      </w:r>
      <w:r w:rsidR="004F4A74" w:rsidRPr="00E87A5F">
        <w:rPr>
          <w:rFonts w:ascii="Times New Roman" w:hAnsi="Times New Roman"/>
          <w:sz w:val="22"/>
          <w:szCs w:val="22"/>
        </w:rPr>
        <w:fldChar w:fldCharType="end"/>
      </w:r>
      <w:r w:rsidRPr="00E87A5F">
        <w:rPr>
          <w:rFonts w:ascii="Times New Roman" w:hAnsi="Times New Roman"/>
          <w:sz w:val="22"/>
          <w:szCs w:val="22"/>
        </w:rPr>
        <w:t>. Grupy docelowe</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957"/>
        <w:gridCol w:w="3561"/>
        <w:gridCol w:w="2815"/>
      </w:tblGrid>
      <w:tr w:rsidR="005F5E3C" w:rsidRPr="00E87A5F" w:rsidTr="00067FD0">
        <w:trPr>
          <w:trHeight w:val="255"/>
        </w:trPr>
        <w:tc>
          <w:tcPr>
            <w:tcW w:w="2957" w:type="dxa"/>
          </w:tcPr>
          <w:p w:rsidR="005F5E3C" w:rsidRPr="00E87A5F" w:rsidRDefault="005F5E3C" w:rsidP="00067FD0">
            <w:pPr>
              <w:jc w:val="both"/>
              <w:rPr>
                <w:rFonts w:ascii="Times New Roman" w:hAnsi="Times New Roman" w:cs="Times New Roman"/>
              </w:rPr>
            </w:pPr>
            <w:r w:rsidRPr="00E87A5F">
              <w:rPr>
                <w:rFonts w:ascii="Times New Roman" w:hAnsi="Times New Roman" w:cs="Times New Roman"/>
              </w:rPr>
              <w:t>Grupa docelowa</w:t>
            </w:r>
          </w:p>
        </w:tc>
        <w:tc>
          <w:tcPr>
            <w:tcW w:w="3561" w:type="dxa"/>
          </w:tcPr>
          <w:p w:rsidR="005F5E3C" w:rsidRPr="00E87A5F" w:rsidRDefault="005F5E3C" w:rsidP="00067FD0">
            <w:pPr>
              <w:jc w:val="both"/>
              <w:rPr>
                <w:rFonts w:ascii="Times New Roman" w:hAnsi="Times New Roman" w:cs="Times New Roman"/>
              </w:rPr>
            </w:pPr>
            <w:r w:rsidRPr="00E87A5F">
              <w:rPr>
                <w:rFonts w:ascii="Times New Roman" w:hAnsi="Times New Roman" w:cs="Times New Roman"/>
              </w:rPr>
              <w:t>Problemy</w:t>
            </w:r>
          </w:p>
        </w:tc>
        <w:tc>
          <w:tcPr>
            <w:tcW w:w="2815" w:type="dxa"/>
          </w:tcPr>
          <w:p w:rsidR="005F5E3C" w:rsidRPr="00E87A5F" w:rsidRDefault="005F5E3C" w:rsidP="00067FD0">
            <w:pPr>
              <w:jc w:val="both"/>
              <w:rPr>
                <w:rFonts w:ascii="Times New Roman" w:hAnsi="Times New Roman" w:cs="Times New Roman"/>
              </w:rPr>
            </w:pPr>
            <w:r w:rsidRPr="00E87A5F">
              <w:rPr>
                <w:rFonts w:ascii="Times New Roman" w:hAnsi="Times New Roman" w:cs="Times New Roman"/>
              </w:rPr>
              <w:t>Obszar interwencji</w:t>
            </w:r>
          </w:p>
        </w:tc>
      </w:tr>
      <w:tr w:rsidR="00FC37C9" w:rsidRPr="00E87A5F" w:rsidTr="00067FD0">
        <w:trPr>
          <w:trHeight w:val="1380"/>
        </w:trPr>
        <w:tc>
          <w:tcPr>
            <w:tcW w:w="2957" w:type="dxa"/>
          </w:tcPr>
          <w:p w:rsidR="00FC37C9" w:rsidRPr="00E87A5F" w:rsidRDefault="00FC37C9" w:rsidP="00067FD0">
            <w:pPr>
              <w:jc w:val="both"/>
              <w:rPr>
                <w:rFonts w:ascii="Times New Roman" w:hAnsi="Times New Roman" w:cs="Times New Roman"/>
              </w:rPr>
            </w:pPr>
            <w:r w:rsidRPr="00E87A5F">
              <w:rPr>
                <w:rFonts w:ascii="Times New Roman" w:hAnsi="Times New Roman" w:cs="Times New Roman"/>
              </w:rPr>
              <w:t>Organizacje pozarządowe</w:t>
            </w:r>
          </w:p>
        </w:tc>
        <w:tc>
          <w:tcPr>
            <w:tcW w:w="3561" w:type="dxa"/>
          </w:tcPr>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Wypalenie liderów, mała ilość woluntariuszy</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organizacji pozyskujących środki na rozwój wsi i wspólnot lokalnych</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lastRenderedPageBreak/>
              <w:t>Mała ilość młodych, aktywnych osób w organizacjach</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Brak środków finansowych na wkład własny do projektu;</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aktywności i integracji społeczności lokalnych</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zaangażowania mieszkańców w decyzje lokalne</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Słaba oferta zajęć w Domach Kultury, świetlicach;</w:t>
            </w:r>
          </w:p>
          <w:p w:rsidR="00FC37C9" w:rsidRPr="00E87A5F" w:rsidRDefault="00FC37C9" w:rsidP="005F5E3C">
            <w:pPr>
              <w:pStyle w:val="Akapitzlist"/>
              <w:numPr>
                <w:ilvl w:val="0"/>
                <w:numId w:val="9"/>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świadomości ekologicznej mieszkańców</w:t>
            </w:r>
          </w:p>
          <w:p w:rsidR="00FC37C9" w:rsidRPr="00E87A5F" w:rsidRDefault="00FC37C9" w:rsidP="00067FD0">
            <w:pPr>
              <w:ind w:left="720"/>
              <w:jc w:val="both"/>
              <w:rPr>
                <w:rFonts w:ascii="Times New Roman" w:hAnsi="Times New Roman" w:cs="Times New Roman"/>
              </w:rPr>
            </w:pPr>
          </w:p>
        </w:tc>
        <w:tc>
          <w:tcPr>
            <w:tcW w:w="2815" w:type="dxa"/>
          </w:tcPr>
          <w:p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lastRenderedPageBreak/>
              <w:t>Aktywizacja, integracja, partycypacja społeczności lokalnej</w:t>
            </w:r>
          </w:p>
          <w:p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 xml:space="preserve">Infrastruktura </w:t>
            </w:r>
            <w:r w:rsidR="00666109" w:rsidRPr="002D54D8">
              <w:rPr>
                <w:rFonts w:ascii="Times New Roman" w:hAnsi="Times New Roman" w:cs="Times New Roman"/>
              </w:rPr>
              <w:t xml:space="preserve">turystyczna, </w:t>
            </w:r>
            <w:r w:rsidRPr="002D54D8">
              <w:rPr>
                <w:rFonts w:ascii="Times New Roman" w:hAnsi="Times New Roman" w:cs="Times New Roman"/>
              </w:rPr>
              <w:t xml:space="preserve">rekreacyjna i </w:t>
            </w:r>
            <w:r w:rsidRPr="002D54D8">
              <w:rPr>
                <w:rFonts w:ascii="Times New Roman" w:hAnsi="Times New Roman" w:cs="Times New Roman"/>
              </w:rPr>
              <w:lastRenderedPageBreak/>
              <w:t>kulturowa w przestrzeni publicznej</w:t>
            </w:r>
          </w:p>
          <w:p w:rsidR="00D33CBD" w:rsidRPr="00D33CBD" w:rsidRDefault="00D33CBD" w:rsidP="00D33CBD">
            <w:pPr>
              <w:pStyle w:val="Akapitzlist"/>
              <w:numPr>
                <w:ilvl w:val="0"/>
                <w:numId w:val="8"/>
              </w:numPr>
              <w:suppressAutoHyphens w:val="0"/>
              <w:ind w:left="317" w:hanging="283"/>
              <w:contextualSpacing/>
              <w:jc w:val="both"/>
              <w:rPr>
                <w:rFonts w:asciiTheme="minorHAnsi" w:hAnsiTheme="minorHAnsi" w:cs="Times New Roman"/>
              </w:rPr>
            </w:pPr>
            <w:r w:rsidRPr="002D54D8">
              <w:rPr>
                <w:rFonts w:ascii="Times New Roman" w:hAnsi="Times New Roman" w:cs="Times New Roman"/>
              </w:rPr>
              <w:t>Zachowanie dziedzictwa kulturowego i przyrodniczego</w:t>
            </w:r>
          </w:p>
        </w:tc>
      </w:tr>
      <w:tr w:rsidR="00FC37C9" w:rsidRPr="00E87A5F" w:rsidTr="00067FD0">
        <w:trPr>
          <w:trHeight w:val="3375"/>
        </w:trPr>
        <w:tc>
          <w:tcPr>
            <w:tcW w:w="2957" w:type="dxa"/>
          </w:tcPr>
          <w:p w:rsidR="00FC37C9" w:rsidRPr="002279EE" w:rsidRDefault="00D33CBD"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lastRenderedPageBreak/>
              <w:t>Jednostki samorządu terytorialnego</w:t>
            </w:r>
          </w:p>
          <w:p w:rsidR="002279EE" w:rsidRPr="002279EE" w:rsidRDefault="002279EE"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Samorządowe instytucje kulturowe</w:t>
            </w:r>
          </w:p>
        </w:tc>
        <w:tc>
          <w:tcPr>
            <w:tcW w:w="3561" w:type="dxa"/>
          </w:tcPr>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Słaba infrastruktura </w:t>
            </w:r>
            <w:proofErr w:type="spellStart"/>
            <w:r w:rsidRPr="00E87A5F">
              <w:rPr>
                <w:rFonts w:ascii="Times New Roman" w:hAnsi="Times New Roman" w:cs="Times New Roman"/>
              </w:rPr>
              <w:t>turystyczno</w:t>
            </w:r>
            <w:proofErr w:type="spellEnd"/>
            <w:r w:rsidRPr="00E87A5F">
              <w:rPr>
                <w:rFonts w:ascii="Times New Roman" w:hAnsi="Times New Roman" w:cs="Times New Roman"/>
              </w:rPr>
              <w:t xml:space="preserve"> – rekreacyjna;</w:t>
            </w:r>
          </w:p>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Niedostateczne zagospodarowanie przestrzeni publicznej</w:t>
            </w:r>
          </w:p>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Ograniczona oferta atrakcji turystycznych;</w:t>
            </w:r>
          </w:p>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Niezadowalający stan zabytków</w:t>
            </w:r>
          </w:p>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rsidR="00FC37C9" w:rsidRPr="00E87A5F" w:rsidRDefault="00FC37C9" w:rsidP="00067FD0">
            <w:pPr>
              <w:ind w:left="720"/>
              <w:jc w:val="both"/>
              <w:rPr>
                <w:rFonts w:ascii="Times New Roman" w:hAnsi="Times New Roman" w:cs="Times New Roman"/>
              </w:rPr>
            </w:pPr>
          </w:p>
        </w:tc>
        <w:tc>
          <w:tcPr>
            <w:tcW w:w="2815" w:type="dxa"/>
          </w:tcPr>
          <w:p w:rsidR="00FC37C9" w:rsidRP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 xml:space="preserve"> Infrastruktura </w:t>
            </w:r>
            <w:r w:rsidR="00666109">
              <w:rPr>
                <w:rFonts w:ascii="Times New Roman" w:hAnsi="Times New Roman" w:cs="Times New Roman"/>
              </w:rPr>
              <w:t xml:space="preserve">turystyczna, </w:t>
            </w:r>
            <w:r w:rsidRPr="00FC37C9">
              <w:rPr>
                <w:rFonts w:ascii="Times New Roman" w:hAnsi="Times New Roman" w:cs="Times New Roman"/>
              </w:rPr>
              <w:t>rekreacyjna i kulturowa w przestrzeni publicznej</w:t>
            </w:r>
          </w:p>
          <w:p w:rsid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Aktywizacja, integracja, partycypacja społeczności lokalnej</w:t>
            </w:r>
          </w:p>
          <w:p w:rsidR="00D33CBD" w:rsidRPr="00D33CBD" w:rsidRDefault="00D33CBD" w:rsidP="00D33CBD">
            <w:pPr>
              <w:pStyle w:val="Akapitzlist"/>
              <w:numPr>
                <w:ilvl w:val="0"/>
                <w:numId w:val="8"/>
              </w:numPr>
              <w:suppressAutoHyphens w:val="0"/>
              <w:ind w:left="317" w:hanging="283"/>
              <w:contextualSpacing/>
              <w:jc w:val="both"/>
              <w:rPr>
                <w:rFonts w:ascii="Times New Roman" w:hAnsi="Times New Roman" w:cs="Times New Roman"/>
              </w:rPr>
            </w:pPr>
            <w:r w:rsidRPr="00D33CBD">
              <w:rPr>
                <w:rFonts w:ascii="Times New Roman" w:hAnsi="Times New Roman" w:cs="Times New Roman"/>
              </w:rPr>
              <w:t>Zachowanie dziedzictwa kulturowego i przyrodniczego</w:t>
            </w:r>
          </w:p>
          <w:p w:rsidR="00FC37C9" w:rsidRPr="00FC37C9" w:rsidRDefault="00FC37C9" w:rsidP="00FC37C9">
            <w:pPr>
              <w:pStyle w:val="Akapitzlist"/>
              <w:suppressAutoHyphens w:val="0"/>
              <w:ind w:left="317"/>
              <w:contextualSpacing/>
              <w:jc w:val="both"/>
              <w:rPr>
                <w:rFonts w:ascii="Times New Roman" w:hAnsi="Times New Roman" w:cs="Times New Roman"/>
              </w:rPr>
            </w:pPr>
          </w:p>
          <w:p w:rsidR="00FC37C9" w:rsidRPr="00161948" w:rsidRDefault="00FC37C9" w:rsidP="00FC37C9">
            <w:pPr>
              <w:jc w:val="both"/>
              <w:rPr>
                <w:rFonts w:cs="Times New Roman"/>
              </w:rPr>
            </w:pPr>
          </w:p>
        </w:tc>
      </w:tr>
      <w:tr w:rsidR="005F5E3C" w:rsidRPr="00E87A5F" w:rsidTr="00067FD0">
        <w:trPr>
          <w:trHeight w:val="1305"/>
        </w:trPr>
        <w:tc>
          <w:tcPr>
            <w:tcW w:w="2957" w:type="dxa"/>
          </w:tcPr>
          <w:p w:rsidR="005F5E3C" w:rsidRPr="00E87A5F" w:rsidRDefault="005F5E3C" w:rsidP="00067FD0">
            <w:pPr>
              <w:jc w:val="both"/>
              <w:rPr>
                <w:rFonts w:ascii="Times New Roman" w:hAnsi="Times New Roman" w:cs="Times New Roman"/>
              </w:rPr>
            </w:pPr>
            <w:r w:rsidRPr="00E87A5F">
              <w:rPr>
                <w:rFonts w:ascii="Times New Roman" w:hAnsi="Times New Roman" w:cs="Times New Roman"/>
              </w:rPr>
              <w:t>Przedsiębiorcy</w:t>
            </w:r>
          </w:p>
        </w:tc>
        <w:tc>
          <w:tcPr>
            <w:tcW w:w="3561" w:type="dxa"/>
          </w:tcPr>
          <w:p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Trudności w rozwijaniu działalności gospodarczej /brak środków finansowych/ </w:t>
            </w:r>
          </w:p>
          <w:p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Zdekapitalizowany majątek firm.</w:t>
            </w:r>
          </w:p>
          <w:p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innowacyjności</w:t>
            </w:r>
          </w:p>
        </w:tc>
        <w:tc>
          <w:tcPr>
            <w:tcW w:w="2815" w:type="dxa"/>
            <w:vMerge w:val="restart"/>
          </w:tcPr>
          <w:p w:rsidR="005F5E3C" w:rsidRPr="00E87A5F" w:rsidRDefault="005F5E3C" w:rsidP="005F5E3C">
            <w:pPr>
              <w:pStyle w:val="Akapitzlist"/>
              <w:numPr>
                <w:ilvl w:val="0"/>
                <w:numId w:val="10"/>
              </w:numPr>
              <w:suppressAutoHyphens w:val="0"/>
              <w:ind w:left="317" w:hanging="283"/>
              <w:contextualSpacing/>
              <w:jc w:val="both"/>
              <w:rPr>
                <w:rFonts w:ascii="Times New Roman" w:hAnsi="Times New Roman" w:cs="Times New Roman"/>
              </w:rPr>
            </w:pPr>
            <w:r w:rsidRPr="00E87A5F">
              <w:rPr>
                <w:rFonts w:ascii="Times New Roman" w:hAnsi="Times New Roman" w:cs="Times New Roman"/>
              </w:rPr>
              <w:t>Tworzenie nowych miejsc pracy oraz rozwój istniejących firm</w:t>
            </w: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tc>
      </w:tr>
      <w:tr w:rsidR="005F5E3C" w:rsidRPr="00E87A5F" w:rsidTr="00067FD0">
        <w:trPr>
          <w:trHeight w:val="1982"/>
        </w:trPr>
        <w:tc>
          <w:tcPr>
            <w:tcW w:w="2957" w:type="dxa"/>
          </w:tcPr>
          <w:p w:rsidR="00134E24" w:rsidRPr="00134E24" w:rsidRDefault="00134E24" w:rsidP="00134E24">
            <w:pPr>
              <w:jc w:val="both"/>
              <w:rPr>
                <w:rFonts w:ascii="Times New Roman" w:eastAsia="Calibri" w:hAnsi="Times New Roman" w:cs="Times New Roman"/>
              </w:rPr>
            </w:pPr>
            <w:r w:rsidRPr="00134E24">
              <w:rPr>
                <w:rFonts w:ascii="Times New Roman" w:eastAsia="Calibri" w:hAnsi="Times New Roman" w:cs="Times New Roman"/>
              </w:rPr>
              <w:t xml:space="preserve">Osoby fizyczne oraz osoby z  grupy </w:t>
            </w:r>
            <w:proofErr w:type="spellStart"/>
            <w:r w:rsidRPr="00134E24">
              <w:rPr>
                <w:rFonts w:ascii="Times New Roman" w:eastAsia="Calibri" w:hAnsi="Times New Roman" w:cs="Times New Roman"/>
              </w:rPr>
              <w:t>defaworyzowanej</w:t>
            </w:r>
            <w:proofErr w:type="spellEnd"/>
            <w:r w:rsidRPr="00134E24">
              <w:rPr>
                <w:rFonts w:ascii="Times New Roman" w:eastAsia="Calibri" w:hAnsi="Times New Roman" w:cs="Times New Roman"/>
              </w:rPr>
              <w:t xml:space="preserve"> </w:t>
            </w:r>
            <w:proofErr w:type="spellStart"/>
            <w:r w:rsidRPr="00134E24">
              <w:rPr>
                <w:rFonts w:ascii="Times New Roman" w:eastAsia="Calibri" w:hAnsi="Times New Roman" w:cs="Times New Roman"/>
              </w:rPr>
              <w:t>tj</w:t>
            </w:r>
            <w:proofErr w:type="spellEnd"/>
            <w:r w:rsidRPr="00134E24">
              <w:rPr>
                <w:rFonts w:ascii="Times New Roman" w:eastAsia="Calibri" w:hAnsi="Times New Roman" w:cs="Times New Roman"/>
              </w:rPr>
              <w:t>:</w:t>
            </w:r>
          </w:p>
          <w:p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1. Osoby bezrobotne zarejestrowane w PUP</w:t>
            </w:r>
          </w:p>
          <w:p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2.Osoby długotrwale bezrobotne</w:t>
            </w:r>
          </w:p>
          <w:p w:rsidR="00134E24" w:rsidRPr="00134E24" w:rsidRDefault="00D3435C" w:rsidP="00134E24">
            <w:pPr>
              <w:jc w:val="both"/>
              <w:rPr>
                <w:rFonts w:ascii="Times New Roman" w:eastAsia="Calibri" w:hAnsi="Times New Roman" w:cs="Times New Roman"/>
              </w:rPr>
            </w:pPr>
            <w:r>
              <w:rPr>
                <w:rFonts w:ascii="Times New Roman" w:eastAsia="Calibri" w:hAnsi="Times New Roman" w:cs="Times New Roman"/>
              </w:rPr>
              <w:t>3</w:t>
            </w:r>
            <w:r w:rsidR="00134E24" w:rsidRPr="00134E24">
              <w:rPr>
                <w:rFonts w:ascii="Times New Roman" w:eastAsia="Calibri" w:hAnsi="Times New Roman" w:cs="Times New Roman"/>
              </w:rPr>
              <w:t>. Osoby bezrobotne do 35 r.ż.</w:t>
            </w:r>
          </w:p>
          <w:p w:rsidR="005F5E3C" w:rsidRPr="00E87A5F" w:rsidRDefault="00D3435C" w:rsidP="00134E24">
            <w:pPr>
              <w:rPr>
                <w:rFonts w:ascii="Times New Roman" w:hAnsi="Times New Roman" w:cs="Times New Roman"/>
              </w:rPr>
            </w:pPr>
            <w:r>
              <w:rPr>
                <w:rFonts w:ascii="Times New Roman" w:eastAsia="Calibri" w:hAnsi="Times New Roman" w:cs="Times New Roman"/>
              </w:rPr>
              <w:t>4</w:t>
            </w:r>
            <w:r w:rsidR="00134E24">
              <w:rPr>
                <w:rFonts w:ascii="Times New Roman" w:eastAsia="Calibri" w:hAnsi="Times New Roman" w:cs="Times New Roman"/>
              </w:rPr>
              <w:t xml:space="preserve">. Osoby </w:t>
            </w:r>
            <w:r w:rsidR="00134E24" w:rsidRPr="00134E24">
              <w:rPr>
                <w:rFonts w:ascii="Times New Roman" w:eastAsia="Calibri" w:hAnsi="Times New Roman" w:cs="Times New Roman"/>
              </w:rPr>
              <w:t>bezrobotne zamieszkałe na wsi</w:t>
            </w:r>
          </w:p>
        </w:tc>
        <w:tc>
          <w:tcPr>
            <w:tcW w:w="3561" w:type="dxa"/>
          </w:tcPr>
          <w:p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Niskie zarobki;</w:t>
            </w:r>
          </w:p>
          <w:p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Migracje zarobkowe; </w:t>
            </w:r>
          </w:p>
          <w:p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Niewystarczająca liczba miejsc pracy.</w:t>
            </w:r>
          </w:p>
          <w:p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Bariery mentalne: obawy przed podejmowaniem działalności gospodarczej i obawy jak to robić</w:t>
            </w: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tc>
        <w:tc>
          <w:tcPr>
            <w:tcW w:w="2815" w:type="dxa"/>
            <w:vMerge/>
          </w:tcPr>
          <w:p w:rsidR="005F5E3C" w:rsidRPr="00E87A5F" w:rsidRDefault="005F5E3C" w:rsidP="00067FD0">
            <w:pPr>
              <w:jc w:val="both"/>
              <w:rPr>
                <w:rFonts w:ascii="Times New Roman" w:hAnsi="Times New Roman" w:cs="Times New Roman"/>
              </w:rPr>
            </w:pPr>
          </w:p>
        </w:tc>
      </w:tr>
    </w:tbl>
    <w:p w:rsidR="005F5E3C" w:rsidRPr="00E87A5F" w:rsidRDefault="005F5E3C" w:rsidP="005F5E3C">
      <w:pPr>
        <w:pStyle w:val="Default"/>
        <w:jc w:val="both"/>
        <w:outlineLvl w:val="1"/>
        <w:rPr>
          <w:i/>
          <w:sz w:val="22"/>
          <w:szCs w:val="22"/>
        </w:rPr>
      </w:pPr>
      <w:bookmarkStart w:id="42" w:name="_Toc439184052"/>
      <w:r w:rsidRPr="00E87A5F">
        <w:rPr>
          <w:i/>
          <w:sz w:val="22"/>
          <w:szCs w:val="22"/>
        </w:rPr>
        <w:t>Źródło: Opracowanie własne</w:t>
      </w:r>
      <w:bookmarkEnd w:id="42"/>
      <w:r w:rsidR="003A2AD2">
        <w:rPr>
          <w:i/>
          <w:sz w:val="22"/>
          <w:szCs w:val="22"/>
        </w:rPr>
        <w:t xml:space="preserve"> LGD</w:t>
      </w:r>
    </w:p>
    <w:p w:rsidR="005F5E3C" w:rsidRPr="00E87A5F" w:rsidRDefault="005F5E3C" w:rsidP="005F5E3C">
      <w:pPr>
        <w:pStyle w:val="Default"/>
        <w:jc w:val="both"/>
        <w:outlineLvl w:val="1"/>
        <w:rPr>
          <w:i/>
          <w:sz w:val="22"/>
          <w:szCs w:val="22"/>
        </w:rPr>
      </w:pPr>
    </w:p>
    <w:p w:rsidR="005F5E3C" w:rsidRPr="00E87A5F" w:rsidRDefault="005F5E3C" w:rsidP="005F5E3C">
      <w:pPr>
        <w:pStyle w:val="Default"/>
        <w:numPr>
          <w:ilvl w:val="0"/>
          <w:numId w:val="1"/>
        </w:numPr>
        <w:jc w:val="both"/>
        <w:outlineLvl w:val="1"/>
        <w:rPr>
          <w:b/>
          <w:sz w:val="22"/>
          <w:szCs w:val="22"/>
        </w:rPr>
      </w:pPr>
      <w:bookmarkStart w:id="43" w:name="_Toc433797021"/>
      <w:bookmarkStart w:id="44" w:name="_Toc439184053"/>
      <w:r w:rsidRPr="00E87A5F">
        <w:rPr>
          <w:b/>
          <w:sz w:val="22"/>
          <w:szCs w:val="22"/>
        </w:rPr>
        <w:t>Charakterystyka gospodarki/przedsiębiorczości</w:t>
      </w:r>
      <w:bookmarkEnd w:id="43"/>
      <w:bookmarkEnd w:id="44"/>
    </w:p>
    <w:p w:rsidR="005F5E3C" w:rsidRPr="00E87A5F" w:rsidRDefault="005F5E3C" w:rsidP="005F5E3C">
      <w:pPr>
        <w:spacing w:after="0" w:line="240" w:lineRule="auto"/>
        <w:jc w:val="both"/>
        <w:rPr>
          <w:rFonts w:ascii="Times New Roman" w:hAnsi="Times New Roman" w:cs="Times New Roman"/>
        </w:rPr>
      </w:pPr>
      <w:bookmarkStart w:id="45" w:name="_Toc433797023"/>
      <w:r w:rsidRPr="00E87A5F">
        <w:rPr>
          <w:rFonts w:ascii="Times New Roman" w:hAnsi="Times New Roman" w:cs="Times New Roman"/>
        </w:rPr>
        <w:t>Według danych GUS na terenie LGD Kwiat Lnu  w 2014 roku zarejestrowanych było 6 255 podmiotów gospodarczych wpisanych do rejestru REGON. Aż 97 % to podmioty zatrudniające do 9 osób, 2,6 % zatrudnia od 10 – do 49 osób a od 50 – do 249 osób tylko 0,3%. Na terenie LGD jedynie dwa zakłady ( Gmina Kamienna Góra i Szczawno Zdrój ) posiadają więcej niż 249 pracowników co stanowi zaledwie 0, 03% ogółu. Najwięcej podmiotów gospodarczych w przeliczeniu na 10 tys. mieszkańców znajduje się w gminie Szczawno Zdrój aż 1970 podmiotów, a najmniej w gminie Kamienna Góra 776 podmiotów.</w:t>
      </w:r>
    </w:p>
    <w:p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 </w:t>
      </w: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6</w:t>
      </w:r>
      <w:r w:rsidR="004F4A74" w:rsidRPr="00E87A5F">
        <w:rPr>
          <w:rFonts w:ascii="Times New Roman" w:hAnsi="Times New Roman"/>
          <w:sz w:val="22"/>
          <w:szCs w:val="22"/>
        </w:rPr>
        <w:fldChar w:fldCharType="end"/>
      </w:r>
      <w:r w:rsidRPr="00E87A5F">
        <w:rPr>
          <w:rFonts w:ascii="Times New Roman" w:hAnsi="Times New Roman"/>
          <w:sz w:val="22"/>
          <w:szCs w:val="22"/>
        </w:rPr>
        <w:t>. Struktura wielkościowa przedsiębiorstw w gminach LGD Kwiat Lnu w 2014 r.</w:t>
      </w:r>
    </w:p>
    <w:tbl>
      <w:tblPr>
        <w:tblW w:w="9320"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1900"/>
        <w:gridCol w:w="868"/>
        <w:gridCol w:w="1171"/>
        <w:gridCol w:w="1375"/>
        <w:gridCol w:w="1125"/>
        <w:gridCol w:w="733"/>
        <w:gridCol w:w="988"/>
        <w:gridCol w:w="1160"/>
      </w:tblGrid>
      <w:tr w:rsidR="005F5E3C" w:rsidRPr="00E87A5F" w:rsidTr="00067FD0">
        <w:trPr>
          <w:trHeight w:val="615"/>
        </w:trPr>
        <w:tc>
          <w:tcPr>
            <w:tcW w:w="1900" w:type="dxa"/>
            <w:shd w:val="clear" w:color="auto" w:fill="B8CCE4" w:themeFill="accent1"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4539" w:type="dxa"/>
            <w:gridSpan w:val="4"/>
            <w:shd w:val="clear" w:color="auto" w:fill="B8CCE4" w:themeFill="accent1" w:themeFillTint="66"/>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Struktura wielkościowa przedsiębiorstw w gminach LG</w:t>
            </w:r>
            <w:r w:rsidR="0035458B">
              <w:rPr>
                <w:rFonts w:ascii="Times New Roman" w:hAnsi="Times New Roman" w:cs="Times New Roman"/>
                <w:b/>
                <w:bCs/>
                <w:color w:val="000000"/>
              </w:rPr>
              <w:t>D Kwiat Lnu (ilość pracowników</w:t>
            </w:r>
            <w:r w:rsidRPr="00E87A5F">
              <w:rPr>
                <w:rFonts w:ascii="Times New Roman" w:hAnsi="Times New Roman" w:cs="Times New Roman"/>
                <w:b/>
                <w:bCs/>
                <w:color w:val="000000"/>
              </w:rPr>
              <w:t>)</w:t>
            </w:r>
          </w:p>
        </w:tc>
        <w:tc>
          <w:tcPr>
            <w:tcW w:w="2881" w:type="dxa"/>
            <w:gridSpan w:val="3"/>
            <w:shd w:val="clear" w:color="auto" w:fill="B8CCE4" w:themeFill="accent1" w:themeFillTint="66"/>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więcej</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1499</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30</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924</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790</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lastRenderedPageBreak/>
              <w:t>Kamienna Góra</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683</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756</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952</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20</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839</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18</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354</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737</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25</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1037</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368</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865</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26</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1108</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33</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1912</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6084</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7885</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211</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24</w:t>
            </w:r>
          </w:p>
        </w:tc>
      </w:tr>
    </w:tbl>
    <w:p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przeważają osoby fizyczne prowadzące działalność gospodarczą w tym samozatrudnione lub zatrudniające do 9 osób. Najwięcej osób fizycznych prowadzących działalność gospodarczą  w przeliczeniu na 10 tys. mieszkańców funkcjonuje na terenie gmin Szczawno zdrój ( 1301 )  i Stare Bogaczowice ( 693 ) najmniej na terenie gminy Boguszów Gorce 449 podmiotów. Średnia dla obszaru LGD wynosi 672 podmiotów na 10 tys. mieszkańców i jest niższa od wojewódzkiej która w 2014 roku wyniosła 806. </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7</w:t>
      </w:r>
      <w:r w:rsidR="004F4A74" w:rsidRPr="00E87A5F">
        <w:rPr>
          <w:rFonts w:ascii="Times New Roman" w:hAnsi="Times New Roman"/>
          <w:sz w:val="22"/>
          <w:szCs w:val="22"/>
        </w:rPr>
        <w:fldChar w:fldCharType="end"/>
      </w:r>
      <w:r w:rsidRPr="00E87A5F">
        <w:rPr>
          <w:rFonts w:ascii="Times New Roman" w:hAnsi="Times New Roman"/>
          <w:sz w:val="22"/>
          <w:szCs w:val="22"/>
        </w:rPr>
        <w:t>. Osoby fizyczne prowadzące działalność gospodarczą na obszarze LGD w 2014 r.</w:t>
      </w:r>
    </w:p>
    <w:tbl>
      <w:tblPr>
        <w:tblpPr w:leftFromText="141" w:rightFromText="141" w:vertAnchor="text" w:horzAnchor="margin" w:tblpY="159"/>
        <w:tblW w:w="6692"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3131"/>
        <w:gridCol w:w="1556"/>
        <w:gridCol w:w="2005"/>
      </w:tblGrid>
      <w:tr w:rsidR="005F5E3C" w:rsidRPr="00E87A5F" w:rsidTr="00067FD0">
        <w:trPr>
          <w:trHeight w:val="845"/>
        </w:trPr>
        <w:tc>
          <w:tcPr>
            <w:tcW w:w="3131" w:type="dxa"/>
            <w:shd w:val="clear" w:color="auto" w:fill="B8CCE4" w:themeFill="accent1" w:themeFillTint="66"/>
            <w:noWrap/>
            <w:vAlign w:val="center"/>
            <w:hideMark/>
          </w:tcPr>
          <w:p w:rsidR="005F5E3C" w:rsidRPr="00E87A5F" w:rsidRDefault="005F5E3C" w:rsidP="00067FD0">
            <w:pPr>
              <w:spacing w:after="0" w:line="240" w:lineRule="auto"/>
              <w:ind w:left="-851" w:firstLine="567"/>
              <w:jc w:val="both"/>
              <w:rPr>
                <w:rFonts w:ascii="Times New Roman" w:hAnsi="Times New Roman" w:cs="Times New Roman"/>
                <w:bCs/>
                <w:color w:val="000000"/>
              </w:rPr>
            </w:pPr>
          </w:p>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Gmina</w:t>
            </w:r>
          </w:p>
        </w:tc>
        <w:tc>
          <w:tcPr>
            <w:tcW w:w="1556" w:type="dxa"/>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Osoby fizyczne prowadzące działalność gospodarczą</w:t>
            </w:r>
          </w:p>
        </w:tc>
        <w:tc>
          <w:tcPr>
            <w:tcW w:w="2005" w:type="dxa"/>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728</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449</w:t>
            </w:r>
          </w:p>
        </w:tc>
      </w:tr>
      <w:tr w:rsidR="005F5E3C" w:rsidRPr="00E87A5F" w:rsidTr="00067FD0">
        <w:trPr>
          <w:trHeight w:val="343"/>
        </w:trPr>
        <w:tc>
          <w:tcPr>
            <w:tcW w:w="3131" w:type="dxa"/>
            <w:shd w:val="clear" w:color="auto" w:fill="FFFFFF" w:themeFill="background1"/>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314</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649</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580</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642</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608</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536</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255</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549</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394</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554</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295</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693</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754</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1301</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Razem/średnia</w:t>
            </w:r>
          </w:p>
        </w:tc>
        <w:tc>
          <w:tcPr>
            <w:tcW w:w="1556"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3928</w:t>
            </w:r>
          </w:p>
        </w:tc>
        <w:tc>
          <w:tcPr>
            <w:tcW w:w="2005"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672</w:t>
            </w:r>
          </w:p>
        </w:tc>
      </w:tr>
    </w:tbl>
    <w:p w:rsidR="005F5E3C" w:rsidRPr="00E87A5F" w:rsidRDefault="005F5E3C" w:rsidP="005F5E3C">
      <w:pPr>
        <w:spacing w:line="240" w:lineRule="auto"/>
        <w:jc w:val="both"/>
        <w:rPr>
          <w:rFonts w:ascii="Times New Roman" w:hAnsi="Times New Roman" w:cs="Times New Roman"/>
          <w:i/>
        </w:rPr>
      </w:pP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podziale na sekcje PKD najwięcej przedsiębiorstw reprezentuje sekcję G tj. handel ( 1381 przedsiębiorstw co stanowi 22%  całości). Znaczna liczba podmiotów funkcjonuje również w sekcji L – działalność związana z obsługą rynku nieruchomościami 1291 podmiotów. Kolejne miejsca zajmują sekcja F – 764 budownictwo i sekcja C – 429 podmiotów zajmujących się przetwórstwem przemysłowym. W związku z tym, że region LGD jest atrakcyjny pod kątem turystycznym (położenie geograficzne, liczne szlaki turystyczne, dziedzictwo kulturowe i przyrodnicze itp.</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planuje się wspierać sekcje związane z obsługa ruchu turystycznego, czyli sekcja I. Obecnie ocenia się niedostateczne wykorzystanie potencjału branży turystycznej</w:t>
      </w:r>
      <w:r w:rsidRPr="00E87A5F">
        <w:rPr>
          <w:rFonts w:ascii="Times New Roman" w:hAnsi="Times New Roman" w:cs="Times New Roman"/>
          <w:color w:val="FF0000"/>
        </w:rPr>
        <w:t xml:space="preserve"> </w:t>
      </w:r>
      <w:r w:rsidRPr="00E87A5F">
        <w:rPr>
          <w:rFonts w:ascii="Times New Roman" w:hAnsi="Times New Roman" w:cs="Times New Roman"/>
        </w:rPr>
        <w:t>zarówno na poziomie promocji regionu, usług i produktów jak i współpracy podmiotów zajmujących się sektorem turystycznym ( tylko 212 firm zajmujących się tą branżą ).</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8</w:t>
      </w:r>
      <w:r w:rsidR="004F4A74" w:rsidRPr="00E87A5F">
        <w:rPr>
          <w:rFonts w:ascii="Times New Roman" w:hAnsi="Times New Roman"/>
          <w:sz w:val="22"/>
          <w:szCs w:val="22"/>
        </w:rPr>
        <w:fldChar w:fldCharType="end"/>
      </w:r>
      <w:r w:rsidRPr="00E87A5F">
        <w:rPr>
          <w:rFonts w:ascii="Times New Roman" w:hAnsi="Times New Roman"/>
          <w:sz w:val="22"/>
          <w:szCs w:val="22"/>
        </w:rPr>
        <w:t>. Podział podmiotów gospodarczych według sekcji PKD</w:t>
      </w:r>
    </w:p>
    <w:tbl>
      <w:tblPr>
        <w:tblW w:w="10146" w:type="dxa"/>
        <w:jc w:val="center"/>
        <w:tblCellMar>
          <w:left w:w="70" w:type="dxa"/>
          <w:right w:w="70" w:type="dxa"/>
        </w:tblCellMar>
        <w:tblLook w:val="04A0" w:firstRow="1" w:lastRow="0" w:firstColumn="1" w:lastColumn="0" w:noHBand="0" w:noVBand="1"/>
      </w:tblPr>
      <w:tblGrid>
        <w:gridCol w:w="160"/>
        <w:gridCol w:w="1892"/>
        <w:gridCol w:w="828"/>
        <w:gridCol w:w="1117"/>
        <w:gridCol w:w="1864"/>
        <w:gridCol w:w="1424"/>
        <w:gridCol w:w="1445"/>
        <w:gridCol w:w="1717"/>
      </w:tblGrid>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nil"/>
              <w:left w:val="nil"/>
              <w:bottom w:val="single" w:sz="4" w:space="0" w:color="auto"/>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828"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117"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711"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307"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445"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686"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vMerge w:val="restart"/>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8094" w:type="dxa"/>
            <w:gridSpan w:val="6"/>
            <w:tcBorders>
              <w:top w:val="double" w:sz="4" w:space="0" w:color="4F81BD" w:themeColor="accent1"/>
              <w:left w:val="double" w:sz="4"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 2014 r.</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val="restart"/>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w:t>
            </w:r>
          </w:p>
        </w:tc>
        <w:tc>
          <w:tcPr>
            <w:tcW w:w="111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G</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handel hurtowy i detaliczny</w:t>
            </w:r>
          </w:p>
        </w:tc>
        <w:tc>
          <w:tcPr>
            <w:tcW w:w="1711"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L</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(obsługa rynku nieruchomościami</w:t>
            </w:r>
          </w:p>
        </w:tc>
        <w:tc>
          <w:tcPr>
            <w:tcW w:w="130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F</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Budownictwo</w:t>
            </w:r>
          </w:p>
        </w:tc>
        <w:tc>
          <w:tcPr>
            <w:tcW w:w="1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C</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Przetwórstwo</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przemysłowe</w:t>
            </w:r>
          </w:p>
        </w:tc>
        <w:tc>
          <w:tcPr>
            <w:tcW w:w="1686" w:type="dxa"/>
            <w:vMerge w:val="restart"/>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I</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Zakwaterowanie i usługi gastronomiczne</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r>
      <w:tr w:rsidR="005F5E3C" w:rsidRPr="00E87A5F" w:rsidTr="00067FD0">
        <w:trPr>
          <w:trHeight w:val="300"/>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Kamienna Góra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703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121</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29</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Lubawka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976</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206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157</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91</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Marciszów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364</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Boguszów-Gorce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1530</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309</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119</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Szczawno-Zdrój</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1143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285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126</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Czarny Bór</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395</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55</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25</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Mieroszów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763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227</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27</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Stare Bogaczowice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381</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118</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w:t>
            </w:r>
          </w:p>
        </w:tc>
        <w:tc>
          <w:tcPr>
            <w:tcW w:w="828" w:type="dxa"/>
            <w:tcBorders>
              <w:top w:val="single" w:sz="6" w:space="0" w:color="4F81BD" w:themeColor="accent1"/>
              <w:left w:val="double" w:sz="4"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6255</w:t>
            </w:r>
          </w:p>
        </w:tc>
        <w:tc>
          <w:tcPr>
            <w:tcW w:w="111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1381</w:t>
            </w:r>
          </w:p>
        </w:tc>
        <w:tc>
          <w:tcPr>
            <w:tcW w:w="1711"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1291</w:t>
            </w:r>
          </w:p>
        </w:tc>
        <w:tc>
          <w:tcPr>
            <w:tcW w:w="130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764</w:t>
            </w:r>
          </w:p>
        </w:tc>
        <w:tc>
          <w:tcPr>
            <w:tcW w:w="1445"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429</w:t>
            </w:r>
          </w:p>
        </w:tc>
        <w:tc>
          <w:tcPr>
            <w:tcW w:w="1686" w:type="dxa"/>
            <w:tcBorders>
              <w:top w:val="single" w:sz="6" w:space="0" w:color="4F81BD" w:themeColor="accent1"/>
              <w:left w:val="single" w:sz="6" w:space="0" w:color="4F81BD" w:themeColor="accent1"/>
              <w:bottom w:val="double" w:sz="4" w:space="0" w:color="4F81BD" w:themeColor="accent1"/>
              <w:right w:val="double" w:sz="4"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212</w:t>
            </w:r>
          </w:p>
        </w:tc>
      </w:tr>
    </w:tbl>
    <w:p w:rsidR="005F5E3C" w:rsidRPr="00E87A5F" w:rsidRDefault="005F5E3C" w:rsidP="005F5E3C">
      <w:pPr>
        <w:spacing w:before="100" w:beforeAutospacing="1" w:after="100" w:afterAutospacing="1" w:line="240" w:lineRule="auto"/>
        <w:jc w:val="both"/>
        <w:rPr>
          <w:rFonts w:ascii="Times New Roman" w:hAnsi="Times New Roman" w:cs="Times New Roman"/>
          <w:i/>
        </w:rPr>
      </w:pPr>
      <w:r w:rsidRPr="00E87A5F">
        <w:rPr>
          <w:rFonts w:ascii="Times New Roman" w:hAnsi="Times New Roman" w:cs="Times New Roman"/>
          <w:i/>
        </w:rPr>
        <w:t xml:space="preserve">Źródło: Opracowanie własne na podstawie BDL GUS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Pod względem gospodarczym LGD  jest dość  zróżnicowana z powodu braku wiodącej gałęzi gospodarczej. Obszar w całości nie wykorzystuje swojego potencjału zasobów naturalnych i ludzkich oraz położenia geograficznego. Wynika to m.in. z barier infrastrukturalnych, inwestorskich i społeczno-gospodarczych a także słabego wykorzystywanie oferty Instytucji Otoczenia Biznesu przez przedsiębiorców. Na terenie LGD funkcje takiej instytucji pełni Dolnośląska Agencja Rozwoju Regionalnego z siedzibą w Szczawnie Zdroju. Przedsiębiorcy zwracają również uwagę na zdekapitalizowany majątek firm wymagający znacznych nakładów finansowych. Głównym działaniem LGD będzie pomoc w zakresie finansowania otwierania działalności gospodarczej oraz rozwijania i unowocześniania przedsiębiorstw.</w:t>
      </w:r>
    </w:p>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Analizując sferę gospodarczą, należy uwzględnić nie tylko bezwzględną liczbę zarejestrowanych przedsiębiorstw, ale również wskaźnik przedsiębiorczości, który przedstawia ilość podmiotów gospodarczych w systemie REGON na 1000 mieszkańców. W latach 2009 – 2014 na obszarze LGD wskaźnik  systematycznie wzrastał, natomiast w roku 2011 spadł co może być związane z kryzysem gospodarczym. Najwyższy notuje się w 2013 (97)  co świadczyć może o wychodzeniu z kryzysu. Na obszarze LGD  w 2014 r. wskaźnik wyniósł 96 i jest niższy od województwa dolnośląskiego ( 121 ) i średniej w kraju ( 107 ). Po przeprowadzonej analizie wskaźnika przedsiębiorczości wynika potrzeba wspierania zakładania nowych firm i zwiększenia ilości podmiotów gospodarczych na obszarze LGD. Wskaźnik przedsiębiorczości posłuży monitoringowi długofalowego oddziaływania LSR na rozwój gospodarczy. Na wartość wskaźnika będą miały wpływ następujące elementy: wykształcona kadra pracowników, rynek zbytu, atrakcyjne otoczenie do prowadzenia działalności gospodarczej, sprawna infrastruktura techniczna i społeczna oraz zachęty podatkowe. Niski wskaźnik przedsiębiorczości pokazuje niską aktywność gospodarczą co ma przełożenie na dochód podatkowy gmin. Średni dochód podatkowy gmin należących do LGD  w przeliczeniu na 1 mieszkańca w 2013 roku wyniósł 1127,25 zł. i jest niższy od średniej wojewódzkiej, która dla tego roku wyniosła 1429,54 zł. i niższy od średniej krajowej 1215,85 zł. w 2013 r. Najlepszą sytuację odnotowano w gminie Szczawno – Zdrój  ( 1977,26 zł. ) natomiast aż w czterech gminach Boguszów – Gorce, Kamienna Góra, Lubawka i Marciszów jest on aż dwa razy niższy co obrazuje poniższa tabela.</w:t>
      </w:r>
      <w:r w:rsidRPr="00E87A5F">
        <w:rPr>
          <w:rFonts w:ascii="Times New Roman" w:hAnsi="Times New Roman" w:cs="Times New Roman"/>
          <w:color w:val="4F6228" w:themeColor="accent3" w:themeShade="80"/>
        </w:rPr>
        <w:t xml:space="preserv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w roku 2014  działało łącznie 6255  podmiotów gospodarki narodowej, z czego 88,8% są to podmioty sektora prywatnego. Sektor publiczny tworzy łącznie we wszystkich gminach 700 podmiotów co stanowi 11,2% całości. </w:t>
      </w:r>
    </w:p>
    <w:p w:rsidR="005F5E3C" w:rsidRPr="00E87A5F" w:rsidRDefault="005F5E3C" w:rsidP="005F5E3C">
      <w:pPr>
        <w:spacing w:after="0" w:line="240" w:lineRule="auto"/>
        <w:ind w:firstLine="709"/>
        <w:jc w:val="both"/>
        <w:rPr>
          <w:rFonts w:ascii="Times New Roman" w:hAnsi="Times New Roman" w:cs="Times New Roman"/>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9</w:t>
      </w:r>
      <w:r w:rsidR="004F4A74" w:rsidRPr="00E87A5F">
        <w:rPr>
          <w:rFonts w:ascii="Times New Roman" w:hAnsi="Times New Roman"/>
          <w:sz w:val="22"/>
          <w:szCs w:val="22"/>
        </w:rPr>
        <w:fldChar w:fldCharType="end"/>
      </w:r>
      <w:r w:rsidRPr="00E87A5F">
        <w:rPr>
          <w:rFonts w:ascii="Times New Roman" w:hAnsi="Times New Roman"/>
          <w:sz w:val="22"/>
          <w:szCs w:val="22"/>
        </w:rPr>
        <w:t>. Podmioty gospodarki narodowej wg. sektora własności w gminach LGD</w:t>
      </w:r>
    </w:p>
    <w:tbl>
      <w:tblPr>
        <w:tblW w:w="615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2638"/>
        <w:gridCol w:w="1356"/>
        <w:gridCol w:w="1367"/>
        <w:gridCol w:w="795"/>
      </w:tblGrid>
      <w:tr w:rsidR="005F5E3C" w:rsidRPr="00E87A5F" w:rsidTr="00067FD0">
        <w:trPr>
          <w:trHeight w:val="696"/>
        </w:trPr>
        <w:tc>
          <w:tcPr>
            <w:tcW w:w="2638" w:type="dxa"/>
            <w:vMerge w:val="restart"/>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518" w:type="dxa"/>
            <w:gridSpan w:val="3"/>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Podział  własności sektorów</w:t>
            </w:r>
          </w:p>
        </w:tc>
      </w:tr>
      <w:tr w:rsidR="005F5E3C" w:rsidRPr="00E87A5F" w:rsidTr="00067FD0">
        <w:trPr>
          <w:trHeight w:val="302"/>
        </w:trPr>
        <w:tc>
          <w:tcPr>
            <w:tcW w:w="2638" w:type="dxa"/>
            <w:vMerge/>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1356" w:type="dxa"/>
            <w:shd w:val="clear" w:color="auto" w:fill="B8CCE4" w:themeFill="accent1"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Publiczny</w:t>
            </w:r>
          </w:p>
        </w:tc>
        <w:tc>
          <w:tcPr>
            <w:tcW w:w="1367" w:type="dxa"/>
            <w:shd w:val="clear" w:color="auto" w:fill="B8CCE4" w:themeFill="accent1"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Prywatny</w:t>
            </w:r>
          </w:p>
        </w:tc>
        <w:tc>
          <w:tcPr>
            <w:tcW w:w="795" w:type="dxa"/>
            <w:shd w:val="clear" w:color="auto" w:fill="B8CCE4" w:themeFill="accent1"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suma</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323</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1208</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1531</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395</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690</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703</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857</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975</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22</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342</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364</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152</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611</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372</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381</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50</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1093</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1143</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700</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5555</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6255</w:t>
            </w:r>
          </w:p>
        </w:tc>
      </w:tr>
    </w:tbl>
    <w:p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tabs>
          <w:tab w:val="left" w:pos="1555"/>
        </w:tabs>
        <w:spacing w:after="0" w:line="240" w:lineRule="auto"/>
        <w:jc w:val="both"/>
        <w:rPr>
          <w:rFonts w:ascii="Times New Roman" w:hAnsi="Times New Roman" w:cs="Times New Roman"/>
          <w:color w:val="4F6228" w:themeColor="accent3" w:themeShade="80"/>
        </w:rPr>
      </w:pPr>
      <w:r w:rsidRPr="00E87A5F">
        <w:rPr>
          <w:rFonts w:ascii="Times New Roman" w:hAnsi="Times New Roman" w:cs="Times New Roman"/>
          <w:color w:val="000000"/>
        </w:rPr>
        <w:lastRenderedPageBreak/>
        <w:t xml:space="preserve">Duże znaczenie dla rozwijającej się gospodarki regionu i rynku pracy maja dwie strefy: Kamiennogórska Specjalna Strefa Ekonomiczna Małej Przedsiębiorczości utworzona w 1997 r. Tereny strefy zlokalizowanie są m.in. na terenie LGD w Krzeszowie i  Lubawce. Znaczący potencjał rozwojowy tkwi również w niezagospodarowanych dotychczas gruntach o łącznej powierzchni 31,664 hektara, należących do tej strefy oraz Wałbrzyska Specjalna Strefa Ekonomiczna „INVEST Park” utworzona w 1997 r z 20 podstrefami  położonymi na Dolnym Śląsku m.in. w Wałbrzychu. </w:t>
      </w: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Wielu mieszkańców gmin LGD znalazło zatrudnienie w wymienionych wyżej strefach lub też na terenie miast Kamiennej Góry i Wałbrzycha.</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6" w:name="_Toc439184054"/>
      <w:r w:rsidRPr="00E87A5F">
        <w:rPr>
          <w:rFonts w:ascii="Times New Roman" w:hAnsi="Times New Roman" w:cs="Times New Roman"/>
          <w:color w:val="000000"/>
        </w:rPr>
        <w:t xml:space="preserve">Gminy LGD ze względu ma swoją lokalizację, warunki glebowe, klimatyczne i funkcje gospodarcze wykształcone przez wiele lat charakteryzują się różnorodnymi obszarami aktywności gospodarczej – głównie </w:t>
      </w:r>
      <w:r w:rsidRPr="00E87A5F">
        <w:rPr>
          <w:rFonts w:ascii="Times New Roman" w:hAnsi="Times New Roman" w:cs="Times New Roman"/>
        </w:rPr>
        <w:t>tekstylia,  meble, motoryzacja, przetwórstwo spożywcze i wydobycie surowców mineralnych. Obszar LGD nie wykazuje jednolitego profilu działalności firm i przedsiębiorstw.</w:t>
      </w:r>
      <w:bookmarkEnd w:id="46"/>
      <w:r w:rsidRPr="00E87A5F">
        <w:rPr>
          <w:rFonts w:ascii="Times New Roman" w:hAnsi="Times New Roman" w:cs="Times New Roman"/>
        </w:rPr>
        <w:t xml:space="preserve">  </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4F6228" w:themeColor="accent3" w:themeShade="80"/>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10</w:t>
      </w:r>
      <w:r w:rsidR="004F4A74" w:rsidRPr="00E87A5F">
        <w:rPr>
          <w:rFonts w:ascii="Times New Roman" w:hAnsi="Times New Roman"/>
          <w:sz w:val="22"/>
          <w:szCs w:val="22"/>
        </w:rPr>
        <w:fldChar w:fldCharType="end"/>
      </w:r>
      <w:r w:rsidRPr="00E87A5F">
        <w:rPr>
          <w:rFonts w:ascii="Times New Roman" w:hAnsi="Times New Roman"/>
          <w:sz w:val="22"/>
          <w:szCs w:val="22"/>
        </w:rPr>
        <w:t>. Wiodące firmy w poszczególnych gminach na obszarze LGD</w:t>
      </w:r>
    </w:p>
    <w:tbl>
      <w:tblPr>
        <w:tblW w:w="9324"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420"/>
        <w:gridCol w:w="3540"/>
        <w:gridCol w:w="3340"/>
        <w:gridCol w:w="2024"/>
      </w:tblGrid>
      <w:tr w:rsidR="005F5E3C" w:rsidRPr="00E87A5F" w:rsidTr="00067FD0">
        <w:trPr>
          <w:trHeight w:val="1020"/>
        </w:trPr>
        <w:tc>
          <w:tcPr>
            <w:tcW w:w="420" w:type="dxa"/>
            <w:shd w:val="clear" w:color="000000" w:fill="C5D9F1"/>
            <w:noWrap/>
            <w:vAlign w:val="center"/>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lp.</w:t>
            </w:r>
          </w:p>
        </w:tc>
        <w:tc>
          <w:tcPr>
            <w:tcW w:w="3540" w:type="dxa"/>
            <w:shd w:val="clear" w:color="000000" w:fill="C5D9F1"/>
            <w:noWrap/>
            <w:vAlign w:val="center"/>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Najwięksi pracodawcy na obszarze</w:t>
            </w:r>
          </w:p>
        </w:tc>
        <w:tc>
          <w:tcPr>
            <w:tcW w:w="3340" w:type="dxa"/>
            <w:shd w:val="clear" w:color="000000" w:fill="C5D9F1"/>
            <w:noWrap/>
            <w:vAlign w:val="center"/>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branża</w:t>
            </w:r>
          </w:p>
        </w:tc>
        <w:tc>
          <w:tcPr>
            <w:tcW w:w="2024" w:type="dxa"/>
            <w:shd w:val="clear" w:color="000000" w:fill="C5D9F1"/>
            <w:noWrap/>
            <w:vAlign w:val="center"/>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Gmina</w:t>
            </w:r>
          </w:p>
        </w:tc>
      </w:tr>
      <w:tr w:rsidR="005F5E3C" w:rsidRPr="00E87A5F" w:rsidTr="00067FD0">
        <w:trPr>
          <w:trHeight w:val="345"/>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35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Takata</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Petri</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Parts</w:t>
            </w:r>
            <w:proofErr w:type="spellEnd"/>
            <w:r w:rsidRPr="00E87A5F">
              <w:rPr>
                <w:rFonts w:ascii="Times New Roman" w:hAnsi="Times New Roman" w:cs="Times New Roman"/>
                <w:color w:val="000000"/>
              </w:rPr>
              <w:t xml:space="preserve"> Polska </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części do samochodów</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r>
      <w:tr w:rsidR="005F5E3C" w:rsidRPr="00E87A5F" w:rsidTr="00067FD0">
        <w:trPr>
          <w:trHeight w:val="3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Lubatex</w:t>
            </w:r>
            <w:proofErr w:type="spellEnd"/>
            <w:r w:rsidRPr="00E87A5F">
              <w:rPr>
                <w:rFonts w:ascii="Times New Roman" w:hAnsi="Times New Roman" w:cs="Times New Roman"/>
                <w:color w:val="000000"/>
              </w:rPr>
              <w:t xml:space="preserve"> Spółka z o.o.</w:t>
            </w:r>
          </w:p>
        </w:tc>
        <w:tc>
          <w:tcPr>
            <w:tcW w:w="33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producent wyrobów tekstylnych</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r>
      <w:tr w:rsidR="005F5E3C" w:rsidRPr="00E87A5F" w:rsidTr="00067FD0">
        <w:trPr>
          <w:trHeight w:val="63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35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Rolnicza Spółdzielnia Produkcyjna "Przyszłość"</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przetwórstwo rolne</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r>
      <w:tr w:rsidR="005F5E3C" w:rsidRPr="00E87A5F" w:rsidTr="00067FD0">
        <w:trPr>
          <w:trHeight w:val="39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Engram S.A</w:t>
            </w:r>
          </w:p>
        </w:tc>
        <w:tc>
          <w:tcPr>
            <w:tcW w:w="33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urządzenia elektro-energetyczne</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r>
      <w:tr w:rsidR="005F5E3C" w:rsidRPr="00E87A5F" w:rsidTr="00067FD0">
        <w:trPr>
          <w:trHeight w:val="3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Camela</w:t>
            </w:r>
            <w:proofErr w:type="spellEnd"/>
            <w:r w:rsidRPr="00E87A5F">
              <w:rPr>
                <w:rFonts w:ascii="Times New Roman" w:hAnsi="Times New Roman" w:cs="Times New Roman"/>
                <w:color w:val="000000"/>
              </w:rPr>
              <w:t xml:space="preserve">  S.A</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Fabryka wkładów odzieżowych</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r>
      <w:tr w:rsidR="005F5E3C" w:rsidRPr="00E87A5F" w:rsidTr="00067FD0">
        <w:trPr>
          <w:trHeight w:val="3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Mineral</w:t>
            </w:r>
            <w:proofErr w:type="spellEnd"/>
            <w:r w:rsidRPr="00E87A5F">
              <w:rPr>
                <w:rFonts w:ascii="Times New Roman" w:hAnsi="Times New Roman" w:cs="Times New Roman"/>
                <w:color w:val="000000"/>
              </w:rPr>
              <w:t xml:space="preserve"> Polska Spółka z o.o.</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przemysł wydobywczy - melafir</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 Bór</w:t>
            </w:r>
          </w:p>
        </w:tc>
      </w:tr>
      <w:tr w:rsidR="005F5E3C" w:rsidRPr="00E87A5F" w:rsidTr="00067FD0">
        <w:trPr>
          <w:trHeight w:val="6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PPHU </w:t>
            </w:r>
            <w:proofErr w:type="spellStart"/>
            <w:r w:rsidRPr="00E87A5F">
              <w:rPr>
                <w:rFonts w:ascii="Times New Roman" w:hAnsi="Times New Roman" w:cs="Times New Roman"/>
                <w:color w:val="000000"/>
              </w:rPr>
              <w:t>Maltex</w:t>
            </w:r>
            <w:proofErr w:type="spellEnd"/>
            <w:r w:rsidRPr="00E87A5F">
              <w:rPr>
                <w:rFonts w:ascii="Times New Roman" w:hAnsi="Times New Roman" w:cs="Times New Roman"/>
                <w:color w:val="000000"/>
              </w:rPr>
              <w:t xml:space="preserve"> </w:t>
            </w:r>
          </w:p>
        </w:tc>
        <w:tc>
          <w:tcPr>
            <w:tcW w:w="33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produkcja i obróbka elementów metalowych</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r>
      <w:tr w:rsidR="005F5E3C" w:rsidRPr="00E87A5F" w:rsidTr="00067FD0">
        <w:trPr>
          <w:trHeight w:val="3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Uzdrowisko Szczawno - Jedlina</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zdrowotna</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 - Zdrój</w:t>
            </w:r>
          </w:p>
        </w:tc>
      </w:tr>
    </w:tbl>
    <w:p w:rsidR="005F5E3C" w:rsidRPr="00E87A5F" w:rsidRDefault="005F5E3C" w:rsidP="005F5E3C">
      <w:pPr>
        <w:tabs>
          <w:tab w:val="left" w:pos="1555"/>
        </w:tabs>
        <w:spacing w:line="240" w:lineRule="auto"/>
        <w:jc w:val="both"/>
        <w:rPr>
          <w:rFonts w:ascii="Times New Roman" w:hAnsi="Times New Roman" w:cs="Times New Roman"/>
          <w:i/>
          <w:color w:val="000000"/>
        </w:rPr>
      </w:pPr>
      <w:r w:rsidRPr="00E87A5F">
        <w:rPr>
          <w:rFonts w:ascii="Times New Roman" w:hAnsi="Times New Roman" w:cs="Times New Roman"/>
          <w:i/>
          <w:color w:val="000000"/>
        </w:rPr>
        <w:t>Źródło: Opracowanie własne</w:t>
      </w:r>
    </w:p>
    <w:p w:rsidR="005F5E3C" w:rsidRPr="00E87A5F" w:rsidRDefault="005F5E3C" w:rsidP="005F5E3C">
      <w:pPr>
        <w:pStyle w:val="Akapitzlist"/>
        <w:numPr>
          <w:ilvl w:val="0"/>
          <w:numId w:val="1"/>
        </w:numPr>
        <w:tabs>
          <w:tab w:val="left" w:pos="1555"/>
        </w:tabs>
        <w:suppressAutoHyphens w:val="0"/>
        <w:spacing w:after="0" w:line="240" w:lineRule="auto"/>
        <w:jc w:val="both"/>
        <w:rPr>
          <w:rFonts w:ascii="Times New Roman" w:eastAsiaTheme="minorHAnsi" w:hAnsi="Times New Roman" w:cs="Times New Roman"/>
          <w:b/>
          <w:lang w:eastAsia="en-US"/>
        </w:rPr>
      </w:pPr>
      <w:r w:rsidRPr="00E87A5F">
        <w:rPr>
          <w:rFonts w:ascii="Times New Roman" w:eastAsiaTheme="minorHAnsi" w:hAnsi="Times New Roman" w:cs="Times New Roman"/>
          <w:b/>
          <w:lang w:eastAsia="en-US"/>
        </w:rPr>
        <w:t>Opis rynku pracy</w:t>
      </w:r>
    </w:p>
    <w:p w:rsidR="005F5E3C" w:rsidRPr="00E87A5F" w:rsidRDefault="005F5E3C" w:rsidP="005F5E3C">
      <w:pPr>
        <w:tabs>
          <w:tab w:val="left" w:pos="1555"/>
        </w:tabs>
        <w:spacing w:after="0" w:line="240" w:lineRule="auto"/>
        <w:jc w:val="both"/>
        <w:rPr>
          <w:rFonts w:ascii="Times New Roman" w:hAnsi="Times New Roman" w:cs="Times New Roman"/>
          <w:b/>
        </w:rPr>
      </w:pPr>
      <w:r w:rsidRPr="00E87A5F">
        <w:rPr>
          <w:rFonts w:ascii="Times New Roman" w:hAnsi="Times New Roman" w:cs="Times New Roman"/>
        </w:rPr>
        <w:t>Na terenie LGD, tak jak i w większości kraju na skutek przemian gospodarczych przejawiających się likwidacją dominujących podmiotów gospodarczych pojawił się problem długotrwałego i strukturalnego bezrobocia. W konsekwencji nastąpił wzrost ubóstwa, prowadzący do powstania negatywnych zjawisk, takich jak wykluczenie społeczne. Obecnie do problemów zaliczyć można wolno postępujący rozwój rynku pracy, zwłaszcza na obszarach wiejskich, niedostateczna ilość miejsc pracy na rynku lokalnym, słaba komunikacja pomiędzy miejscowościami w regionie. Istotnym problemem jest</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kształcenie zawodowe słabo powiązane z rynkiem pracy. Profile szkół zawodowych nie odpowiadają wymaganiom stawianym przez pracodawców. Biorąc pod uwagę dane ze spisów powszechnych z lat 2002 i 2011 obserwuje się wzrost wykształcenia wyższego z 4,6% do 10% oraz spadek osób z wykształceniem podstawowym, gimnazjalnym i zawodowym z 67,5 na 56,4%</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Przeprowadzona diagnoza,  ankiety i wywiady z przedstawicielami Powiatowego Urzędu Pracy oraz Ośrodków Pomocy Społecznej pozwoliły wyodrębnić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 dostępie do rynku pracy, które będą szczególnie istotne z punktu widzenia działań w ramach LSR i są to: długotrwale bezrobotni, osoby bezrobotne do 35 roku życia i bezrobotni zamieszkujący na wsi.</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 obszarze Lokalnej Grupy Działania w 2013 roku wśród 4544 zarejestrowanych osób bezrobotnych było 2154 kobiet ( 47 % ) i 2390 ( 53 % ) mężczyzn. Udział kobiet w większym odsetku osób pracujących świadczy o dość mocno rozwiniętej branży tekstylnej na obszarze LGD.  Od kilku lat obserwuje się podobny odsetek osób bezrobotnych do ilości osób w wieku produkcyjnym i waha się w przedziale 10 % - 11% a w 2013 roku – 10,6 %. W województwie ten wskaźnik  jest niższy i w roku 2013 wyniósł 8,2%. Największa ilość bezrobotnych do liczby osób w wieku produkcyjnym od kilku lat występuje w gminie Boguszów Gorce sięgając nawet do 15 % najmniejszy wskaźnik również od kilku lat odnotowuje się w gminie Szczawno Zdrój i wynosi 7% - 8%. Na obszarze LGD w 2013 roku pracowało w sumie 7279 osób, należy mieć na uwadze, że wartość  nie uwzględnia osób zatrudnion</w:t>
      </w:r>
      <w:r w:rsidR="0035458B">
        <w:rPr>
          <w:rFonts w:ascii="Times New Roman" w:hAnsi="Times New Roman" w:cs="Times New Roman"/>
        </w:rPr>
        <w:t>ych w mikroprzedsiębiorstwach (</w:t>
      </w:r>
      <w:r w:rsidRPr="00E87A5F">
        <w:rPr>
          <w:rFonts w:ascii="Times New Roman" w:hAnsi="Times New Roman" w:cs="Times New Roman"/>
        </w:rPr>
        <w:t>tj. fi</w:t>
      </w:r>
      <w:r w:rsidR="0035458B">
        <w:rPr>
          <w:rFonts w:ascii="Times New Roman" w:hAnsi="Times New Roman" w:cs="Times New Roman"/>
        </w:rPr>
        <w:t>rmach zatrudniających do 9 osób</w:t>
      </w:r>
      <w:r w:rsidRPr="00E87A5F">
        <w:rPr>
          <w:rFonts w:ascii="Times New Roman" w:hAnsi="Times New Roman" w:cs="Times New Roman"/>
        </w:rPr>
        <w:t>)</w:t>
      </w:r>
      <w:r w:rsidR="0035458B">
        <w:rPr>
          <w:rFonts w:ascii="Times New Roman" w:hAnsi="Times New Roman" w:cs="Times New Roman"/>
        </w:rPr>
        <w:t>.</w:t>
      </w:r>
      <w:r w:rsidRPr="00E87A5F">
        <w:rPr>
          <w:rFonts w:ascii="Times New Roman" w:hAnsi="Times New Roman" w:cs="Times New Roman"/>
        </w:rPr>
        <w:t xml:space="preserve"> </w:t>
      </w:r>
    </w:p>
    <w:p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color w:val="000000"/>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11</w:t>
      </w:r>
      <w:r w:rsidR="004F4A74" w:rsidRPr="00E87A5F">
        <w:rPr>
          <w:rFonts w:ascii="Times New Roman" w:hAnsi="Times New Roman"/>
          <w:sz w:val="22"/>
          <w:szCs w:val="22"/>
        </w:rPr>
        <w:fldChar w:fldCharType="end"/>
      </w:r>
      <w:r w:rsidRPr="00E87A5F">
        <w:rPr>
          <w:rFonts w:ascii="Times New Roman" w:hAnsi="Times New Roman"/>
          <w:sz w:val="22"/>
          <w:szCs w:val="22"/>
        </w:rPr>
        <w:t>. Wskaźnik bezrobocia. Udział osób bezrobotnych w gminach objętych LSR</w:t>
      </w:r>
    </w:p>
    <w:tbl>
      <w:tblPr>
        <w:tblW w:w="8717"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Layout w:type="fixed"/>
        <w:tblCellMar>
          <w:left w:w="70" w:type="dxa"/>
          <w:right w:w="70" w:type="dxa"/>
        </w:tblCellMar>
        <w:tblLook w:val="04A0" w:firstRow="1" w:lastRow="0" w:firstColumn="1" w:lastColumn="0" w:noHBand="0" w:noVBand="1"/>
      </w:tblPr>
      <w:tblGrid>
        <w:gridCol w:w="3306"/>
        <w:gridCol w:w="1038"/>
        <w:gridCol w:w="1038"/>
        <w:gridCol w:w="1038"/>
        <w:gridCol w:w="2297"/>
      </w:tblGrid>
      <w:tr w:rsidR="005F5E3C" w:rsidRPr="00E87A5F" w:rsidTr="00067FD0">
        <w:trPr>
          <w:trHeight w:val="652"/>
        </w:trPr>
        <w:tc>
          <w:tcPr>
            <w:tcW w:w="8717" w:type="dxa"/>
            <w:gridSpan w:val="5"/>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Udział bezrobotnych zarejestrowanych w liczbie ludności w wieku produkcyjnym ( % )</w:t>
            </w:r>
          </w:p>
        </w:tc>
      </w:tr>
      <w:tr w:rsidR="005F5E3C" w:rsidRPr="00E87A5F" w:rsidTr="00067FD0">
        <w:trPr>
          <w:trHeight w:val="303"/>
        </w:trPr>
        <w:tc>
          <w:tcPr>
            <w:tcW w:w="3306" w:type="dxa"/>
            <w:vMerge w:val="restart"/>
            <w:shd w:val="clear" w:color="auto" w:fill="FFFFFF" w:themeFill="background1"/>
            <w:noWrap/>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114" w:type="dxa"/>
            <w:gridSpan w:val="3"/>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Rok</w:t>
            </w:r>
          </w:p>
        </w:tc>
        <w:tc>
          <w:tcPr>
            <w:tcW w:w="2297" w:type="dxa"/>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Województwo</w:t>
            </w:r>
          </w:p>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dolnośląskie</w:t>
            </w:r>
          </w:p>
        </w:tc>
      </w:tr>
      <w:tr w:rsidR="005F5E3C" w:rsidRPr="00E87A5F" w:rsidTr="00067FD0">
        <w:trPr>
          <w:trHeight w:val="303"/>
        </w:trPr>
        <w:tc>
          <w:tcPr>
            <w:tcW w:w="3306" w:type="dxa"/>
            <w:vMerge/>
            <w:shd w:val="clear" w:color="auto" w:fill="FFFFFF" w:themeFill="background1"/>
            <w:noWrap/>
            <w:vAlign w:val="bottom"/>
          </w:tcPr>
          <w:p w:rsidR="005F5E3C" w:rsidRPr="00E87A5F" w:rsidRDefault="005F5E3C" w:rsidP="00067FD0">
            <w:pPr>
              <w:spacing w:after="0" w:line="240" w:lineRule="auto"/>
              <w:jc w:val="both"/>
              <w:rPr>
                <w:rFonts w:ascii="Times New Roman" w:hAnsi="Times New Roman" w:cs="Times New Roman"/>
                <w:b/>
                <w:bCs/>
                <w:color w:val="000000"/>
              </w:rPr>
            </w:pPr>
          </w:p>
        </w:tc>
        <w:tc>
          <w:tcPr>
            <w:tcW w:w="1038"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1038"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1038"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2297" w:type="dxa"/>
            <w:vAlign w:val="bottom"/>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12,3</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14,2</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w:t>
            </w:r>
          </w:p>
        </w:tc>
        <w:tc>
          <w:tcPr>
            <w:tcW w:w="2297" w:type="dxa"/>
            <w:vMerge w:val="restart"/>
            <w:vAlign w:val="center"/>
          </w:tcPr>
          <w:p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8,2</w:t>
            </w: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Bór</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13,1</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11,1</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13,2</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10,6</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10,4</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9,3</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9,1</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8,7</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Szczawno-Zdrój</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8,4</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Średnia</w:t>
            </w:r>
          </w:p>
        </w:tc>
        <w:tc>
          <w:tcPr>
            <w:tcW w:w="10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10,68</w:t>
            </w:r>
          </w:p>
        </w:tc>
        <w:tc>
          <w:tcPr>
            <w:tcW w:w="10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11,26</w:t>
            </w:r>
          </w:p>
        </w:tc>
        <w:tc>
          <w:tcPr>
            <w:tcW w:w="10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10,60</w:t>
            </w:r>
          </w:p>
        </w:tc>
        <w:tc>
          <w:tcPr>
            <w:tcW w:w="2297" w:type="dxa"/>
            <w:vMerge/>
            <w:shd w:val="clear" w:color="auto" w:fill="FFFFFF" w:themeFill="background1"/>
          </w:tcPr>
          <w:p w:rsidR="005F5E3C" w:rsidRPr="00E87A5F" w:rsidRDefault="005F5E3C" w:rsidP="00067FD0">
            <w:pPr>
              <w:spacing w:after="0" w:line="240" w:lineRule="auto"/>
              <w:jc w:val="both"/>
              <w:rPr>
                <w:rFonts w:ascii="Times New Roman" w:hAnsi="Times New Roman" w:cs="Times New Roman"/>
                <w:b/>
                <w:bCs/>
                <w:color w:val="000000"/>
              </w:rPr>
            </w:pPr>
          </w:p>
        </w:tc>
      </w:tr>
    </w:tbl>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i/>
          <w:color w:val="000000"/>
        </w:rPr>
      </w:pPr>
      <w:bookmarkStart w:id="47" w:name="_Toc439184055"/>
      <w:r w:rsidRPr="00E87A5F">
        <w:rPr>
          <w:rFonts w:ascii="Times New Roman" w:hAnsi="Times New Roman" w:cs="Times New Roman"/>
          <w:i/>
          <w:color w:val="000000"/>
        </w:rPr>
        <w:t>Źródło: Opracowanie własne na podstawie BDL GUS</w:t>
      </w:r>
      <w:bookmarkEnd w:id="47"/>
    </w:p>
    <w:p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i/>
          <w:color w:val="000000"/>
        </w:rPr>
      </w:pP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8" w:name="_Toc439184056"/>
      <w:r w:rsidRPr="00E87A5F">
        <w:rPr>
          <w:rFonts w:ascii="Times New Roman" w:hAnsi="Times New Roman" w:cs="Times New Roman"/>
          <w:color w:val="000000"/>
        </w:rPr>
        <w:t xml:space="preserve">Szczególnie negatywnym zjawiskiem jest duża skala występowania bezrobocia długotrwałego (powyżej roku). Jak wynika z danych BDL GUS udział bezrobotnych powyżej roku w strukturze bezrobocia w roku 2013 wynosi 34 %.  Na podstawie niniejszych danych przyjąć można, że co trzeci bezrobotny zarejestrowany na obszarze LGD pozostaje bez pracy powyżej roku. Z przeprowadzonych badań wynika, że </w:t>
      </w:r>
      <w:r w:rsidRPr="00E87A5F">
        <w:rPr>
          <w:rFonts w:ascii="Times New Roman" w:hAnsi="Times New Roman" w:cs="Times New Roman"/>
        </w:rPr>
        <w:t>główne przyczyny długotrwałego bezrobocia to brak odpowiednich kwalifikacji w tym niskie wykształcenie, słaba komunikacja publiczna między wsią a miastem, niska motywacja wynikająca z faktu przebywania już poza rynkiem pracy</w:t>
      </w:r>
      <w:bookmarkEnd w:id="48"/>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9" w:name="_Toc439184057"/>
      <w:r w:rsidRPr="00E87A5F">
        <w:rPr>
          <w:rFonts w:ascii="Times New Roman" w:hAnsi="Times New Roman" w:cs="Times New Roman"/>
        </w:rPr>
        <w:t>Średnia liczba osób pracujących w przeliczeniu na 1000 mieszkańców na terenie LGD w roku 2013 wyniosła 115, wynik ten był ponad dwukrotnie niższy niż w Polsce ( 226 ) i województwie ( 272 )</w:t>
      </w:r>
      <w:bookmarkEnd w:id="49"/>
      <w:r w:rsidRPr="00E87A5F">
        <w:rPr>
          <w:rFonts w:ascii="Times New Roman" w:hAnsi="Times New Roman" w:cs="Times New Roman"/>
        </w:rPr>
        <w:t xml:space="preserve">  </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50" w:name="_Toc439184058"/>
      <w:r w:rsidRPr="00E87A5F">
        <w:rPr>
          <w:rFonts w:ascii="Times New Roman" w:hAnsi="Times New Roman" w:cs="Times New Roman"/>
        </w:rPr>
        <w:t>Najwyższy wskaźnik zatrudnienia osiągnęła gmina Szczawno – Zdrój ( 305 ) następnie Mieroszów ( 150 ) Kamienna Góra ( 132 ) w najgorszej sytuacji jest gmina Boguszów Gorce tylko 45 osób na 1000 znalazło zatrudnienie. Przeciętne wynagrodzenie brutto w 2014 w powiatach kamiennogórskim i wałbrzyskim ( obszar LGD ) wyniosło 3187,67 zł. był to wynik dużo niższy od przeciętnego wynagrodzenia w kraju( 4003,99 ) i województwie dolnośląskim.</w:t>
      </w:r>
      <w:bookmarkEnd w:id="50"/>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rsidR="005F5E3C" w:rsidRPr="00E87A5F" w:rsidRDefault="005F5E3C" w:rsidP="005F5E3C">
      <w:pPr>
        <w:pStyle w:val="Default"/>
        <w:numPr>
          <w:ilvl w:val="0"/>
          <w:numId w:val="1"/>
        </w:numPr>
        <w:jc w:val="both"/>
        <w:outlineLvl w:val="1"/>
        <w:rPr>
          <w:b/>
          <w:sz w:val="22"/>
          <w:szCs w:val="22"/>
        </w:rPr>
      </w:pPr>
      <w:bookmarkStart w:id="51" w:name="_Toc439184059"/>
      <w:bookmarkEnd w:id="45"/>
      <w:r w:rsidRPr="00E87A5F">
        <w:rPr>
          <w:b/>
          <w:sz w:val="22"/>
          <w:szCs w:val="22"/>
        </w:rPr>
        <w:t>Działalność sektora społecznego</w:t>
      </w:r>
      <w:bookmarkEnd w:id="51"/>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Zaangażowanie mieszkańców w sprawy publiczne przejawia się między innymi w działalności organizacji pozarządowych, uczestnictwie w kulturze, frekwencji wyborczej oraz zaangażowaniu w decyzje w gminach i sołectwach.</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Aktywność mieszkańców przejawia się w pracach 211</w:t>
      </w:r>
      <w:r w:rsidRPr="00E87A5F">
        <w:rPr>
          <w:rFonts w:ascii="Times New Roman" w:hAnsi="Times New Roman" w:cs="Times New Roman"/>
          <w:color w:val="FF0000"/>
        </w:rPr>
        <w:t xml:space="preserve"> </w:t>
      </w:r>
      <w:r w:rsidRPr="00E87A5F">
        <w:rPr>
          <w:rFonts w:ascii="Times New Roman" w:hAnsi="Times New Roman" w:cs="Times New Roman"/>
          <w:bCs/>
        </w:rPr>
        <w:t xml:space="preserve">organizacji pozarządowych, która z roku na rok sukcesywnie się zwiększa w porównaniu do roku 2009 na obszarze funkcjonowało 148 NGO. </w:t>
      </w:r>
      <w:r w:rsidRPr="00E87A5F">
        <w:rPr>
          <w:rFonts w:ascii="Times New Roman" w:hAnsi="Times New Roman" w:cs="Times New Roman"/>
        </w:rPr>
        <w:t xml:space="preserve">Na obszarze LGD działają stowarzyszenia (180) i fundacje (31) na rzecz rozwoju swojej miejscowości czy gminy, zdrowia i osób niepełnosprawnych, kultury, edukacji, dziedzictwa kulturowego, ochrony środowiska, turystyki czy sportu. Rodzaj funkcjonujących organizacji świadczy o rozwiniętym kapitale społecznym. Wśród organizacji pozarządowych ujęto 27 Ochotniczych Straży Pożarnych, które posiadają status stowarzyszeń. Pomimo tylu zarejestrowanych organizacji pozarządowych aktywność społeczna mieszkańców, liderów lokalnych i promocja wolontariatu w ocenie uczestników badan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badanych organizacji</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 xml:space="preserve">jest niezadowalająca. Aktywne organizacje pozarządowe są dobrze przygotowane do pozyskiwania środków zewnętrznych m.in. z programu „Działaj Lokalnie” w latach 2006-2015 zrealizowano 116 projektów oraz ze środków EFFROW, co potwierdza ilość 15 zrealizowanych wniosków ze środków z programu Leader PROW 2007-2013. Podczas badania fokusowego dla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zorganizowanego w trakcie tworzenia LSR na lata 2014-2020, liderzy zadeklarowali gotowość i chęć w sięganiu po środki finansowe i realizację różnych przedsięwzięć w celu rozwiązywania problemów lokalnych. Ciągle jeszcze mała cześć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prowadzi działalność odpłatną, dlatego działania w LSR skierowane też będą do wsparcia sektora pozarządowego w zakresie prowadzenia działalności, wsparcia wolontariatu i liderów.</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LGD jest średnio rozwinięty, jeżeli chodzi o działalność kulturalno-artystyczną. Ważnym elementem zachowania kultury jest działalność</w:t>
      </w:r>
      <w:r w:rsidRPr="00E87A5F">
        <w:rPr>
          <w:rFonts w:ascii="Times New Roman" w:hAnsi="Times New Roman" w:cs="Times New Roman"/>
          <w:bCs/>
        </w:rPr>
        <w:t xml:space="preserve">  7 Ośrodków Kultury</w:t>
      </w:r>
      <w:r w:rsidRPr="00E87A5F">
        <w:rPr>
          <w:rFonts w:ascii="Times New Roman" w:hAnsi="Times New Roman" w:cs="Times New Roman"/>
        </w:rPr>
        <w:t>.</w:t>
      </w:r>
      <w:r w:rsidRPr="00E87A5F">
        <w:rPr>
          <w:rFonts w:ascii="Times New Roman" w:hAnsi="Times New Roman" w:cs="Times New Roman"/>
          <w:color w:val="FF0000"/>
        </w:rPr>
        <w:t xml:space="preserve"> </w:t>
      </w:r>
      <w:r w:rsidRPr="00E87A5F">
        <w:rPr>
          <w:rFonts w:ascii="Times New Roman" w:hAnsi="Times New Roman" w:cs="Times New Roman"/>
        </w:rPr>
        <w:t>Na obszarze LGD rozwija</w:t>
      </w:r>
      <w:r w:rsidR="0035458B">
        <w:rPr>
          <w:rFonts w:ascii="Times New Roman" w:hAnsi="Times New Roman" w:cs="Times New Roman"/>
        </w:rPr>
        <w:t xml:space="preserve"> się infrastruktura społeczna w </w:t>
      </w:r>
      <w:r w:rsidRPr="00E87A5F">
        <w:rPr>
          <w:rFonts w:ascii="Times New Roman" w:hAnsi="Times New Roman" w:cs="Times New Roman"/>
        </w:rPr>
        <w:t xml:space="preserve">tym świetlice wiejskie (ze środków EFRROW w okresie PROW 2007-2013 wyremontowano, wyposażono – 24 obiekty), place zabaw, siłownie zewnętrzne itp., jednakże zagospodarowanie przestrzeni publicznej w stosunku do potrzeb lokalnych jest niedostateczne. Prace Ośrodków Kultury wspierają </w:t>
      </w:r>
      <w:r w:rsidRPr="00E87A5F">
        <w:rPr>
          <w:rFonts w:ascii="Times New Roman" w:hAnsi="Times New Roman" w:cs="Times New Roman"/>
          <w:bCs/>
        </w:rPr>
        <w:t xml:space="preserve">świetlice </w:t>
      </w:r>
      <w:r w:rsidRPr="00E87A5F">
        <w:rPr>
          <w:rFonts w:ascii="Times New Roman" w:hAnsi="Times New Roman" w:cs="Times New Roman"/>
        </w:rPr>
        <w:t xml:space="preserve">wiejskie (52) będące miejscem spotkań, organizacji imprez kulturalnych i towarzyskich mieszkańców gminy, niemniej jednak oferta zajęć nadal jest </w:t>
      </w:r>
      <w:r w:rsidRPr="00E87A5F">
        <w:rPr>
          <w:rFonts w:ascii="Times New Roman" w:hAnsi="Times New Roman" w:cs="Times New Roman"/>
        </w:rPr>
        <w:lastRenderedPageBreak/>
        <w:t xml:space="preserve">niedostateczna dla dzieci, młodzieży i seniorów. Obok nich bardzo ważnymi animatorami kultury regionu są szkoły, przy których działają różnego rodzaju kółka zainteresowań oraz zespoły tańca. </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działalności obywatelskiej obejmuje również udział w życiu publicznym, w tym korzystanie z prawa wyborczego. Frekwencja w wyborach samorządowych na obszarze LGD w 2014 r. wyniosła 52,95%.  W wyborach prezydenckich  w 2015 r. frekwencja na obszarze wyniosła w I turze 43,88% (w województwie 47,56%, a na terenie kraju 48,96%), natomiast w II turze 49,42% (w województwie 53,28%, a na terenie kraju 55,34%). Przytoczone dane świadczą o średnim zaangażowaniu mieszkańców LGD w życie społeczno-polityczne, zarówno ich najbliższego otoczenia, jak i kraju.</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 xml:space="preserve">Podczas badań wykazano niski poziom zaangażowania mieszkańców LGD w podejmowaniu decyzji na poziomie gminy i sołectwa. Wynika to głownie z braku wiary w to, że można coś zmienić i coraz niższemu zaufaniu społecznemu. </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Potencjał społeczny w długim okresie buduje si</w:t>
      </w:r>
      <w:r w:rsidRPr="00E87A5F">
        <w:rPr>
          <w:rFonts w:ascii="Times New Roman" w:eastAsia="TimesNewRoman" w:hAnsi="Times New Roman" w:cs="Times New Roman"/>
        </w:rPr>
        <w:t xml:space="preserve">ę </w:t>
      </w:r>
      <w:r w:rsidRPr="00E87A5F">
        <w:rPr>
          <w:rFonts w:ascii="Times New Roman" w:hAnsi="Times New Roman" w:cs="Times New Roman"/>
        </w:rPr>
        <w:t>poprzez przełamywanie barier w zakresie dost</w:t>
      </w:r>
      <w:r w:rsidRPr="00E87A5F">
        <w:rPr>
          <w:rFonts w:ascii="Times New Roman" w:eastAsia="TimesNewRoman" w:hAnsi="Times New Roman" w:cs="Times New Roman"/>
        </w:rPr>
        <w:t>ę</w:t>
      </w:r>
      <w:r w:rsidRPr="00E87A5F">
        <w:rPr>
          <w:rFonts w:ascii="Times New Roman" w:hAnsi="Times New Roman" w:cs="Times New Roman"/>
        </w:rPr>
        <w:t>pu do edukacji. Dotyczy to zwłaszcza okresu przedszkolnego. Dost</w:t>
      </w:r>
      <w:r w:rsidRPr="00E87A5F">
        <w:rPr>
          <w:rFonts w:ascii="Times New Roman" w:eastAsia="TimesNewRoman" w:hAnsi="Times New Roman" w:cs="Times New Roman"/>
        </w:rPr>
        <w:t>ę</w:t>
      </w:r>
      <w:r w:rsidRPr="00E87A5F">
        <w:rPr>
          <w:rFonts w:ascii="Times New Roman" w:hAnsi="Times New Roman" w:cs="Times New Roman"/>
        </w:rPr>
        <w:t>p do przedszkoli umo</w:t>
      </w:r>
      <w:r w:rsidRPr="00E87A5F">
        <w:rPr>
          <w:rFonts w:ascii="Times New Roman" w:eastAsia="TimesNewRoman" w:hAnsi="Times New Roman" w:cs="Times New Roman"/>
        </w:rPr>
        <w:t>ż</w:t>
      </w:r>
      <w:r w:rsidRPr="00E87A5F">
        <w:rPr>
          <w:rFonts w:ascii="Times New Roman" w:hAnsi="Times New Roman" w:cs="Times New Roman"/>
        </w:rPr>
        <w:t>liwia równie</w:t>
      </w:r>
      <w:r w:rsidRPr="00E87A5F">
        <w:rPr>
          <w:rFonts w:ascii="Times New Roman" w:eastAsia="TimesNewRoman" w:hAnsi="Times New Roman" w:cs="Times New Roman"/>
        </w:rPr>
        <w:t xml:space="preserve">ż </w:t>
      </w:r>
      <w:r w:rsidRPr="00E87A5F">
        <w:rPr>
          <w:rFonts w:ascii="Times New Roman" w:hAnsi="Times New Roman" w:cs="Times New Roman"/>
        </w:rPr>
        <w:t>podj</w:t>
      </w:r>
      <w:r w:rsidRPr="00E87A5F">
        <w:rPr>
          <w:rFonts w:ascii="Times New Roman" w:eastAsia="TimesNewRoman" w:hAnsi="Times New Roman" w:cs="Times New Roman"/>
        </w:rPr>
        <w:t>ę</w:t>
      </w:r>
      <w:r w:rsidRPr="00E87A5F">
        <w:rPr>
          <w:rFonts w:ascii="Times New Roman" w:hAnsi="Times New Roman" w:cs="Times New Roman"/>
        </w:rPr>
        <w:t>cie zatrudnienia przez obojga rodziców, a tym samym mo</w:t>
      </w:r>
      <w:r w:rsidRPr="00E87A5F">
        <w:rPr>
          <w:rFonts w:ascii="Times New Roman" w:eastAsia="TimesNewRoman" w:hAnsi="Times New Roman" w:cs="Times New Roman"/>
        </w:rPr>
        <w:t>ż</w:t>
      </w:r>
      <w:r w:rsidRPr="00E87A5F">
        <w:rPr>
          <w:rFonts w:ascii="Times New Roman" w:hAnsi="Times New Roman" w:cs="Times New Roman"/>
        </w:rPr>
        <w:t>e ogranicza</w:t>
      </w:r>
      <w:r w:rsidRPr="00E87A5F">
        <w:rPr>
          <w:rFonts w:ascii="Times New Roman" w:eastAsia="TimesNewRoman" w:hAnsi="Times New Roman" w:cs="Times New Roman"/>
        </w:rPr>
        <w:t xml:space="preserve">ć </w:t>
      </w:r>
      <w:r w:rsidRPr="00E87A5F">
        <w:rPr>
          <w:rFonts w:ascii="Times New Roman" w:hAnsi="Times New Roman" w:cs="Times New Roman"/>
        </w:rPr>
        <w:t>sfer</w:t>
      </w:r>
      <w:r w:rsidRPr="00E87A5F">
        <w:rPr>
          <w:rFonts w:ascii="Times New Roman" w:eastAsia="TimesNewRoman" w:hAnsi="Times New Roman" w:cs="Times New Roman"/>
        </w:rPr>
        <w:t xml:space="preserve">ę </w:t>
      </w:r>
      <w:r w:rsidRPr="00E87A5F">
        <w:rPr>
          <w:rFonts w:ascii="Times New Roman" w:hAnsi="Times New Roman" w:cs="Times New Roman"/>
        </w:rPr>
        <w:t>ubóstwa. W 2014 roku na obszarze LGD funkcjonowało 10 przedszkoli, dysponujących łącznie 1036 miejscami. Liczba oferowanych w przedszkolach miejsc jest wi</w:t>
      </w:r>
      <w:r w:rsidRPr="00E87A5F">
        <w:rPr>
          <w:rFonts w:ascii="Times New Roman" w:eastAsia="TimesNewRoman" w:hAnsi="Times New Roman" w:cs="Times New Roman"/>
        </w:rPr>
        <w:t>ę</w:t>
      </w:r>
      <w:r w:rsidRPr="00E87A5F">
        <w:rPr>
          <w:rFonts w:ascii="Times New Roman" w:hAnsi="Times New Roman" w:cs="Times New Roman"/>
        </w:rPr>
        <w:t>ksza ni</w:t>
      </w:r>
      <w:r w:rsidRPr="00E87A5F">
        <w:rPr>
          <w:rFonts w:ascii="Times New Roman" w:eastAsia="TimesNewRoman" w:hAnsi="Times New Roman" w:cs="Times New Roman"/>
        </w:rPr>
        <w:t xml:space="preserve">ż </w:t>
      </w:r>
      <w:r w:rsidRPr="00E87A5F">
        <w:rPr>
          <w:rFonts w:ascii="Times New Roman" w:hAnsi="Times New Roman" w:cs="Times New Roman"/>
        </w:rPr>
        <w:t>liczba dzieci w nich zapisanych. W 2014 r. pozostało 97 miejsc wolnych. Na obszarze LGD w 2014 r. funkcjonowało 21 szkół podstawowych, w których było 3162 uczniów i 13 gimnazjów z 1599 uczniami, brak jest placówek szkolnictwa zawodowego, pomimo tradycji przemysłowych.</w:t>
      </w:r>
    </w:p>
    <w:p w:rsidR="005F5E3C" w:rsidRPr="00E87A5F" w:rsidRDefault="005F5E3C" w:rsidP="005F5E3C">
      <w:pPr>
        <w:autoSpaceDE w:val="0"/>
        <w:autoSpaceDN w:val="0"/>
        <w:adjustRightInd w:val="0"/>
        <w:spacing w:after="0" w:line="240" w:lineRule="auto"/>
        <w:ind w:firstLine="360"/>
        <w:jc w:val="both"/>
        <w:rPr>
          <w:rFonts w:ascii="Times New Roman" w:hAnsi="Times New Roman" w:cs="Times New Roman"/>
        </w:rPr>
      </w:pPr>
    </w:p>
    <w:p w:rsidR="005F5E3C" w:rsidRPr="00E87A5F" w:rsidRDefault="005F5E3C" w:rsidP="005F5E3C">
      <w:pPr>
        <w:pStyle w:val="Default"/>
        <w:numPr>
          <w:ilvl w:val="0"/>
          <w:numId w:val="1"/>
        </w:numPr>
        <w:jc w:val="both"/>
        <w:outlineLvl w:val="1"/>
        <w:rPr>
          <w:b/>
          <w:sz w:val="22"/>
          <w:szCs w:val="22"/>
        </w:rPr>
      </w:pPr>
      <w:bookmarkStart w:id="52" w:name="_Toc433797024"/>
      <w:bookmarkStart w:id="53" w:name="_Toc439184060"/>
      <w:r w:rsidRPr="00E87A5F">
        <w:rPr>
          <w:b/>
          <w:sz w:val="22"/>
          <w:szCs w:val="22"/>
        </w:rPr>
        <w:t>Problemy społeczne</w:t>
      </w:r>
      <w:bookmarkEnd w:id="52"/>
      <w:bookmarkEnd w:id="53"/>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Wykluczenie społeczne często utożsamiane jest z ubóstwem, biedą, deprywacją potrzeb, czy też pauperyzacją. Głównym czynnikiem świadczących o wykluczeniu społecznym na obszarze L</w:t>
      </w:r>
      <w:r w:rsidR="0035458B">
        <w:rPr>
          <w:rFonts w:ascii="Times New Roman" w:hAnsi="Times New Roman" w:cs="Times New Roman"/>
        </w:rPr>
        <w:t>GD jest niezdolność do pracy, a </w:t>
      </w:r>
      <w:r w:rsidRPr="00E87A5F">
        <w:rPr>
          <w:rFonts w:ascii="Times New Roman" w:hAnsi="Times New Roman" w:cs="Times New Roman"/>
        </w:rPr>
        <w:t xml:space="preserve">w efekcie bezrobocie. Po przeprowadzonych wywiadach z Powiatowymi Urzędami Pracy i analizą  poziomu i struktury  bezrobocia na obszarze LGD, największy odsetek osób z tzw.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stanowią osoby długotrwale bezrobotne oraz osoby bezrobotne zamieszkałe na wsi.</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 diagnozy środowiska bardzo niepokojącym zjawiskiem społecznym jest popadanie w ubóstwo rodzin, które pracują, lecz osiągają małe dochody. Analiza tego problemu napotyka na du</w:t>
      </w:r>
      <w:r w:rsidRPr="00E87A5F">
        <w:rPr>
          <w:rFonts w:ascii="Times New Roman" w:eastAsia="TimesNewRoman" w:hAnsi="Times New Roman" w:cs="Times New Roman"/>
        </w:rPr>
        <w:t>ż</w:t>
      </w:r>
      <w:r w:rsidRPr="00E87A5F">
        <w:rPr>
          <w:rFonts w:ascii="Times New Roman" w:hAnsi="Times New Roman" w:cs="Times New Roman"/>
        </w:rPr>
        <w:t>e bariery z uwagi na brak danych publikowanych dla gmin. Według danych GUS w roku 2014 w województwie dolnośląskim odnotowano spadek odsetka osób zagrożonych ubóstwem relatywnym do wartości 12,0% w stosunku do 2008 r. (17,2%), podczas gdy w Polsce wyniósł on 16,2%. Region plasuje się na 3 pozycji wśród wszystkich województw jako najmniej zagrożony tym zjawiskiem. Poniżej tzw. ustawowej granicy ubóstwa  żyło w 2014 r. 8,8% mieszkańców województwa, a więc znacznie mniej niż średnio w kraju (12,2%). Również procent osób w gospodarstwach domowych, które przekroczyły granicę ubóstwa skrajnego w województwie dolnośląskim jest niższy niż w kraju (odpowiednio 5,6% i 7,4%). Ze wszystkich świadczeń pomocy społecznej w powiecie kamiennogórskim i wałbrzyskim przyznano najwięcej bo aż 2489 (decyzji) z powodu ubóstwa oraz bezrobocia (2355), co jednoznacznie potwierdza niską zamożność lokalnej społeczności.</w:t>
      </w:r>
    </w:p>
    <w:p w:rsidR="005F5E3C" w:rsidRPr="00E87A5F" w:rsidRDefault="005F5E3C" w:rsidP="005F5E3C">
      <w:pPr>
        <w:tabs>
          <w:tab w:val="left" w:pos="6186"/>
        </w:tabs>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b/>
      </w: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12</w:t>
      </w:r>
      <w:r w:rsidR="004F4A74" w:rsidRPr="00E87A5F">
        <w:rPr>
          <w:rFonts w:ascii="Times New Roman" w:hAnsi="Times New Roman"/>
          <w:sz w:val="22"/>
          <w:szCs w:val="22"/>
        </w:rPr>
        <w:fldChar w:fldCharType="end"/>
      </w:r>
      <w:r w:rsidRPr="00E87A5F">
        <w:rPr>
          <w:rFonts w:ascii="Times New Roman" w:hAnsi="Times New Roman"/>
          <w:sz w:val="22"/>
          <w:szCs w:val="22"/>
        </w:rPr>
        <w:t>. Udział osób korzystających ze środowiskowej pomocy społecznej</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1754"/>
        <w:gridCol w:w="1526"/>
        <w:gridCol w:w="1527"/>
        <w:gridCol w:w="1527"/>
        <w:gridCol w:w="1542"/>
        <w:gridCol w:w="1410"/>
      </w:tblGrid>
      <w:tr w:rsidR="005F5E3C" w:rsidRPr="00E87A5F" w:rsidTr="00067FD0">
        <w:tc>
          <w:tcPr>
            <w:tcW w:w="1754"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t>
            </w:r>
          </w:p>
        </w:tc>
        <w:tc>
          <w:tcPr>
            <w:tcW w:w="1526"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2010</w:t>
            </w:r>
          </w:p>
        </w:tc>
        <w:tc>
          <w:tcPr>
            <w:tcW w:w="1527"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2011</w:t>
            </w:r>
          </w:p>
        </w:tc>
        <w:tc>
          <w:tcPr>
            <w:tcW w:w="1527"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2012</w:t>
            </w:r>
          </w:p>
        </w:tc>
        <w:tc>
          <w:tcPr>
            <w:tcW w:w="1542"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2013</w:t>
            </w:r>
          </w:p>
        </w:tc>
        <w:tc>
          <w:tcPr>
            <w:tcW w:w="1410"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2014</w:t>
            </w:r>
          </w:p>
        </w:tc>
      </w:tr>
      <w:tr w:rsidR="005F5E3C" w:rsidRPr="00E87A5F" w:rsidTr="00067FD0">
        <w:tc>
          <w:tcPr>
            <w:tcW w:w="1754"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obszar LGD</w:t>
            </w:r>
          </w:p>
        </w:tc>
        <w:tc>
          <w:tcPr>
            <w:tcW w:w="1526"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9,76</w:t>
            </w:r>
          </w:p>
        </w:tc>
        <w:tc>
          <w:tcPr>
            <w:tcW w:w="1527"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9,31</w:t>
            </w:r>
          </w:p>
        </w:tc>
        <w:tc>
          <w:tcPr>
            <w:tcW w:w="1527"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9,28</w:t>
            </w:r>
          </w:p>
        </w:tc>
        <w:tc>
          <w:tcPr>
            <w:tcW w:w="1542"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10,21</w:t>
            </w:r>
          </w:p>
        </w:tc>
        <w:tc>
          <w:tcPr>
            <w:tcW w:w="1410"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8,38</w:t>
            </w:r>
          </w:p>
        </w:tc>
      </w:tr>
      <w:tr w:rsidR="005F5E3C" w:rsidRPr="00E87A5F" w:rsidTr="00067FD0">
        <w:tc>
          <w:tcPr>
            <w:tcW w:w="1754"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województwo</w:t>
            </w:r>
          </w:p>
        </w:tc>
        <w:tc>
          <w:tcPr>
            <w:tcW w:w="1526"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6,95</w:t>
            </w:r>
          </w:p>
        </w:tc>
        <w:tc>
          <w:tcPr>
            <w:tcW w:w="1527"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6,38</w:t>
            </w:r>
          </w:p>
        </w:tc>
        <w:tc>
          <w:tcPr>
            <w:tcW w:w="1527"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6,15</w:t>
            </w:r>
          </w:p>
        </w:tc>
        <w:tc>
          <w:tcPr>
            <w:tcW w:w="1542"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6,34</w:t>
            </w:r>
          </w:p>
        </w:tc>
        <w:tc>
          <w:tcPr>
            <w:tcW w:w="1410"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5,76</w:t>
            </w:r>
          </w:p>
        </w:tc>
      </w:tr>
    </w:tbl>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 2014 roku na podstawie BDL GUS najwyższy % udział osób korzystających ze środowiskowej pomocy społecznej z obszaru LGD występował w gminie Marciszów (12,87%) a najniższy w gminie Kamienna Góra (5,71%).</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Pomimo rosnących wydatków na pomoc społeczną liczba osób korzystających z pomocy społecznej na obszarze LGD wskazuje tendencję spadkową w latach 2010-2014 (niewielki wzrost w roku 2013). Jest to związane z rygorystycznymi kryteriami dochodowymi, które ograniczają liczbę osób uprawnionych do korzystania z pomocy społecznej. Jednakże, na obszarze LGD odsetek osób korzystający korzystających z pomocy społecznej jest duży w porównaniu do województwa, który wyniósł w 2014 roku 5,76%.</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2014 roku wydatki gmin wchodzących w skład LGD na pomoc społeczną w wydatkach ogółem stanowiły 16,6%, był to wynik wyższy niż w Polsce (13,36%) i województwie (11,85%).</w:t>
      </w:r>
    </w:p>
    <w:p w:rsidR="005F5E3C" w:rsidRPr="00E87A5F" w:rsidRDefault="005F5E3C" w:rsidP="005F5E3C">
      <w:pPr>
        <w:spacing w:after="0" w:line="240" w:lineRule="auto"/>
        <w:ind w:firstLine="357"/>
        <w:jc w:val="both"/>
        <w:rPr>
          <w:rFonts w:ascii="Times New Roman" w:hAnsi="Times New Roman" w:cs="Times New Roman"/>
        </w:rPr>
      </w:pPr>
    </w:p>
    <w:p w:rsidR="005F5E3C" w:rsidRPr="00E87A5F" w:rsidRDefault="005F5E3C" w:rsidP="005F5E3C">
      <w:pPr>
        <w:pStyle w:val="Default"/>
        <w:numPr>
          <w:ilvl w:val="0"/>
          <w:numId w:val="1"/>
        </w:numPr>
        <w:jc w:val="both"/>
        <w:outlineLvl w:val="1"/>
        <w:rPr>
          <w:b/>
          <w:sz w:val="22"/>
          <w:szCs w:val="22"/>
        </w:rPr>
      </w:pPr>
      <w:bookmarkStart w:id="54" w:name="_Toc433797025"/>
      <w:bookmarkStart w:id="55" w:name="_Toc439184061"/>
      <w:r w:rsidRPr="00E87A5F">
        <w:rPr>
          <w:b/>
          <w:sz w:val="22"/>
          <w:szCs w:val="22"/>
        </w:rPr>
        <w:t>Wykazanie wewnętrznej spójności obszaru LSR</w:t>
      </w:r>
      <w:bookmarkEnd w:id="54"/>
      <w:bookmarkEnd w:id="55"/>
    </w:p>
    <w:p w:rsidR="005F5E3C" w:rsidRPr="00E87A5F" w:rsidRDefault="005F5E3C" w:rsidP="005F5E3C">
      <w:pPr>
        <w:pStyle w:val="Default"/>
        <w:jc w:val="both"/>
        <w:outlineLvl w:val="1"/>
        <w:rPr>
          <w:color w:val="auto"/>
          <w:sz w:val="22"/>
          <w:szCs w:val="22"/>
        </w:rPr>
      </w:pPr>
      <w:bookmarkStart w:id="56" w:name="_Toc439184062"/>
      <w:r w:rsidRPr="00E87A5F">
        <w:rPr>
          <w:color w:val="auto"/>
          <w:sz w:val="22"/>
          <w:szCs w:val="22"/>
        </w:rPr>
        <w:t>Obszar LGD obejmujący 8 gmin wiejskich i wiejsko-miejskich jest nie tylko spójny ze względu na podobne problemy społeczno-gospodarcze ale również ze względu na położenie geograficzne, cenne zasoby przyrodnicze oraz dziedzictwo historyczno-kulturowe.</w:t>
      </w:r>
      <w:bookmarkEnd w:id="56"/>
      <w:r w:rsidRPr="00E87A5F">
        <w:rPr>
          <w:color w:val="auto"/>
          <w:sz w:val="22"/>
          <w:szCs w:val="22"/>
        </w:rPr>
        <w:t xml:space="preserve"> </w:t>
      </w:r>
    </w:p>
    <w:p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7" w:name="_Toc433797026"/>
      <w:bookmarkStart w:id="58" w:name="_Toc439184063"/>
      <w:r w:rsidRPr="00E87A5F">
        <w:rPr>
          <w:rFonts w:ascii="Times New Roman" w:hAnsi="Times New Roman" w:cs="Times New Roman"/>
          <w:b/>
        </w:rPr>
        <w:lastRenderedPageBreak/>
        <w:t>Opis zagospodarowania przestrzennego</w:t>
      </w:r>
      <w:bookmarkEnd w:id="57"/>
      <w:bookmarkEnd w:id="58"/>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Położenie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LGD Kwiat Lnu leży w południowej części Dolnego Śląska w bezpośrednim sąsiedztwie z Czechami. Od zachodu graniczy z Powiatem Jeleniogórskim i działającym na tamtym terenie LGD Partnerstwo Ducha Gór, od północy z Powiatem Jaworskim i LGD „Partnerstwo Kaczawskie” i Powiatem Świdnickim z działającym tam LGD „Szlakiem Granitu” oraz na wschodzie z Powiatem Wałbrzyskim i LGD „Partnerstwem </w:t>
      </w:r>
      <w:proofErr w:type="spellStart"/>
      <w:r w:rsidRPr="00E87A5F">
        <w:rPr>
          <w:rFonts w:ascii="Times New Roman" w:hAnsi="Times New Roman" w:cs="Times New Roman"/>
        </w:rPr>
        <w:t>Sowiogórskim</w:t>
      </w:r>
      <w:proofErr w:type="spellEnd"/>
      <w:r w:rsidRPr="00E87A5F">
        <w:rPr>
          <w:rFonts w:ascii="Times New Roman" w:hAnsi="Times New Roman" w:cs="Times New Roman"/>
        </w:rPr>
        <w:t>”.</w:t>
      </w:r>
    </w:p>
    <w:p w:rsidR="005F5E3C" w:rsidRPr="00E87A5F" w:rsidRDefault="005F5E3C" w:rsidP="005F5E3C">
      <w:pPr>
        <w:spacing w:after="0" w:line="240" w:lineRule="auto"/>
        <w:ind w:firstLine="360"/>
        <w:jc w:val="both"/>
        <w:rPr>
          <w:rFonts w:ascii="Times New Roman" w:hAnsi="Times New Roman" w:cs="Times New Roman"/>
        </w:rPr>
      </w:pPr>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 xml:space="preserve">Uwarunkowania geograficzne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zajmuje część Sudetów Środkowych i jest mocno urozmaicony krajobrazowo. Gminy otoczone są kilkoma pasmami górskimi: Górami Wałbrzyskimi, Górami Suchymi, Kaczawskimi, Kamiennymi, Zaworami, Rudawami Janowickimi i Górami Kruczymi. Kilka pasm górskich jest mocno rozczłonkowanych i składają się z kilku izolowanych obniżeń i dolin. Znaczna część pasm górskich zbudowana jest z porfirów i melafirów charakteryzujących się głębokimi i wąskimi dolinami oraz wysokimi grzbietami, często z podciętymi urwiskami skalnymi. </w:t>
      </w:r>
    </w:p>
    <w:p w:rsidR="005F5E3C" w:rsidRPr="00E87A5F" w:rsidRDefault="005F5E3C" w:rsidP="005F5E3C">
      <w:pPr>
        <w:spacing w:after="0" w:line="240" w:lineRule="auto"/>
        <w:jc w:val="both"/>
        <w:rPr>
          <w:rFonts w:ascii="Times New Roman" w:hAnsi="Times New Roman" w:cs="Times New Roman"/>
          <w:b/>
        </w:rPr>
      </w:pP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Klimat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Warunki klimatyczne na obszarze LGD „Kwiat Lnu” nie różnią się zbytnio od innych części Sudetów Środkowych. Lokalnie na warunki klimatyczne i pogodę ma ukształtowanie terenu. I tak do najzimniejszych obszarów LGD uznać można region powiatu kamiennogórskiego, który izolowany Karkonoszami od zachodnich, łagodzących klimat wpływów oceanicznych, ma mało korzystna temperaturę. Zima trwa tu przeciętnie około 110 dni, natomiast okres letni zamyka się w 50 dniach. Na pozostałym obszarze masy powietrza polarno-morskiego przynoszą latem ochłodzenie, wzrost zachmurzenia i deszcze, w zimie zaś odwilże i opady śniegu z deszczem. Natomiast napływające ze wschodu masy polarno-kontynentalne są zazwyczaj suche i latem przynoszą pogodę słoneczną i suchą, a zimą bezopadową i mroźną, co dokuczliwe jest zwłaszcza w kotlinach. W ostatnich latach też częściej na pogodę ma wpływ powietrze zwrotnikowe powodujące zimowe ocieplenia, a latem bardzo wysokie temperatury i długotrwające upały. Starcie mas zwrotnikowych z chłodnych powietrzem polarno-morskim lub arktycznym bardzo często prowadzi do gwałtownych ulew i wyładowań atmosferycznych, co ma bezpośredni wpływ na podtopienia i powodzie. W klasyfikacji klimatycznej grup gór Polski obszar LGD, który w znacznym stopniu jest terenem górskim, został zaliczony do umiarkowanie chłodnych, a teren nieco niżej do umiarkowanie ciepłych.</w:t>
      </w:r>
    </w:p>
    <w:p w:rsidR="005F5E3C" w:rsidRPr="00E87A5F" w:rsidRDefault="005F5E3C" w:rsidP="005F5E3C">
      <w:pPr>
        <w:spacing w:after="0" w:line="240" w:lineRule="auto"/>
        <w:ind w:firstLine="709"/>
        <w:jc w:val="both"/>
        <w:rPr>
          <w:rFonts w:ascii="Times New Roman" w:hAnsi="Times New Roman" w:cs="Times New Roman"/>
        </w:rPr>
      </w:pP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Gleby</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Ze względu na położenie geograficzne obszar należący do LGD „Kwiat Lnu” nie posiada gleb o wysokiej jakości umożliwiającej prowadzenie szerokiej działalności rolniczej, co stwarza trudne warunki glebowe dla rolnictwa. Ze względu na typ dominują gleby brunatne płowe, a na wysoczyznach gleby brunatne właściwe i kwaśne. Znaczne obszary zajmują gleby słabo wykształcone ze skał masywnych. Najwięcej jest gleb gliniastych wietrzeniowych i stokowych zaliczanych  do </w:t>
      </w:r>
      <w:proofErr w:type="spellStart"/>
      <w:r w:rsidRPr="00E87A5F">
        <w:rPr>
          <w:rFonts w:ascii="Times New Roman" w:hAnsi="Times New Roman" w:cs="Times New Roman"/>
        </w:rPr>
        <w:t>pseudobielicowych</w:t>
      </w:r>
      <w:proofErr w:type="spellEnd"/>
      <w:r w:rsidRPr="00E87A5F">
        <w:rPr>
          <w:rFonts w:ascii="Times New Roman" w:hAnsi="Times New Roman" w:cs="Times New Roman"/>
        </w:rPr>
        <w:t xml:space="preserve"> i brunatnych. Tutejsze gleby są mało przydatne rolniczo, a ich wskaźnik wynosi  3,6 pkt. w skali dziesięciopunktowej. </w:t>
      </w:r>
    </w:p>
    <w:p w:rsidR="005F5E3C" w:rsidRPr="00E87A5F" w:rsidRDefault="005F5E3C" w:rsidP="005F5E3C">
      <w:pPr>
        <w:spacing w:after="0" w:line="240" w:lineRule="auto"/>
        <w:ind w:firstLine="709"/>
        <w:jc w:val="both"/>
        <w:rPr>
          <w:rFonts w:ascii="Times New Roman" w:hAnsi="Times New Roman" w:cs="Times New Roman"/>
        </w:rPr>
      </w:pP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Bogactwo naturalne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terenie LGD występują zasoby naturalne o dużej różnorodności. Dominującymi surowcami naturalnymi są piaski formierskie służące do wyrobu form i rdzeni odlewniczych oraz węgiel kamienny. Piaski formierskie to piaski kwarcowe o wysokiej jakości wykorzystywane również w przemyśle szklarskim. Największe złoża znajdują się w rejonie wsi: Krzeszówek, Jawiszów, Gorzeszów. Węgle okolic Wałbrzycha należą do węgli humusowych, powstałych ze szczątków roślin lądowych i błotnych. Występują tu węgle koksujące, węgiel chudy oraz antracytowy. Cennym surowcem jest także baryt mający wielorakie zastosowanie w przemyśle. Największe jego złoża( dziś nie eksploatowane) znajdują się w okolicy Boguszowa. Kolejne surowce występujące w regionie to zasoby porfirów i melafirów wykorzystywane do produkcji kruszyw drogowych i kolejowych. Cała okolica posiada bardzo bogate i różnorodne złoża minerałów. Występują tu m.in.: turmaliny, piryty, chryzoprazy, kryształy górskie, blenda cynkowa, agaty i wiele innych.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Obecnie eksploatowane złoża znajdują się:</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Czarny Bór – złoża melafiru</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Grzędy – złoża melafiru</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Gorce – złoże porfiru eksploatowane okresowo</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Rybnica Leśna – złoże melafiru</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Borówno – złoże melafiru eksploatowane czasowo</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Okrzeszyn – złoże porfiru</w:t>
      </w:r>
    </w:p>
    <w:p w:rsidR="003A2AD2" w:rsidRPr="003A2AD2" w:rsidRDefault="005F5E3C" w:rsidP="003A2AD2">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Ogorzelec – złoże amfibolitu i gnejsów</w:t>
      </w: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Zasoby wodne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Układ sieci hydrologicznej jest skomplikowany ze względu na złożona budowę geologiczną i rzeźbę oraz ze względu na wielowiekową działalność górniczą, która doprowadziła do zaniku wielu źródeł i drenażu wód podziemnych. </w:t>
      </w:r>
      <w:r w:rsidRPr="00E87A5F">
        <w:rPr>
          <w:rFonts w:ascii="Times New Roman" w:hAnsi="Times New Roman" w:cs="Times New Roman"/>
        </w:rPr>
        <w:lastRenderedPageBreak/>
        <w:t xml:space="preserve">Istniejące rzeki i potoki mają cechy rzek górskich, który wyraża się zmiennością stanów wód. Topnienie śniegów w górach powoduje wysokie stany na wiosnę, natomiast w okresie letnim w maksymalnym czasie opadowym, wezbrania rzek są częste. Najniższe stany wód odnotowuje się we wrześniu i październiku. Wraz ze zmianami klimatycznymi dochodzi do zmian w zasobach wód. Na obszarze LGD również widoczne są rok rocznie niższe poziomy wód i wysychanie małych zbiorników wodnych.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Znaczna część regionu posiada wody mineralne, które były podstawą do powstania i rozwoju uzdrowisk oraz wytwórni wód mineralnych. Wydajność wszystkich źródeł jest stosunkowo niska i wody źródlane wykorzystywane są wyłącznie w kuracji pitnej. Wody mineralne Szczawna Zdroju znajdują się w wąskim pasie wzdłuż potoku Szczawnik. W uzdrowisku znajduje się 5 źródeł, których wody mają różne zastosowanie lecznicze. W Starych Bogaczowicach istnieją również ujęcia wód mineralnych i te są butelkowane i znane jako „Anna”. To głównie dzięki zasobom wodnym </w:t>
      </w:r>
      <w:r w:rsidRPr="00E87A5F">
        <w:rPr>
          <w:rFonts w:ascii="Times New Roman" w:hAnsi="Times New Roman" w:cs="Times New Roman"/>
          <w:b/>
        </w:rPr>
        <w:t>Szczawno Zdrój zyskało miano uzdrowiska</w:t>
      </w:r>
      <w:r w:rsidRPr="00E87A5F">
        <w:rPr>
          <w:rFonts w:ascii="Times New Roman" w:hAnsi="Times New Roman" w:cs="Times New Roman"/>
        </w:rPr>
        <w:t xml:space="preserve"> i jako takie znane już było w średniowieczu. A o leczniczych właściwościach wód pisano już od XVI 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Nie mniej znane, choć pozbawione po wojnie statusu uzdrowiska jest </w:t>
      </w:r>
      <w:r w:rsidRPr="00E87A5F">
        <w:rPr>
          <w:rFonts w:ascii="Times New Roman" w:hAnsi="Times New Roman" w:cs="Times New Roman"/>
          <w:b/>
        </w:rPr>
        <w:t>Sokołowsko</w:t>
      </w:r>
      <w:r w:rsidRPr="00E87A5F">
        <w:rPr>
          <w:rFonts w:ascii="Times New Roman" w:hAnsi="Times New Roman" w:cs="Times New Roman"/>
        </w:rPr>
        <w:t xml:space="preserve">. To tu w XIX w. zastosowano nowatorską metodę leczenia klimatyczno-dietetycznego, uruchomiono  pierwsze na </w:t>
      </w:r>
      <w:r w:rsidRPr="00E87A5F">
        <w:rPr>
          <w:rFonts w:ascii="Times New Roman" w:hAnsi="Times New Roman" w:cs="Times New Roman"/>
          <w:b/>
        </w:rPr>
        <w:t>świecie sanatorium leczenia gruźlicy</w:t>
      </w:r>
      <w:r w:rsidRPr="00E87A5F">
        <w:rPr>
          <w:rFonts w:ascii="Times New Roman" w:hAnsi="Times New Roman" w:cs="Times New Roman"/>
        </w:rPr>
        <w:t xml:space="preserve"> i na wzór Sokołowska powstało sanatorium w Davos! Swoje niezwykłe właściwości lecznicze zawdzięcza dwóm poziomom klimatycznym o mocnym zróżnicowaniu. Wciąż z powodzeniem leczone są tu choroby górnych dróg oddechowych, a piękne położenie miejscowości zapewne również sprzyja zdrowieniu.</w:t>
      </w:r>
    </w:p>
    <w:p w:rsidR="005F5E3C" w:rsidRPr="003A2AD2" w:rsidRDefault="005F5E3C" w:rsidP="003A2AD2">
      <w:pPr>
        <w:spacing w:after="0" w:line="240" w:lineRule="auto"/>
        <w:jc w:val="both"/>
        <w:rPr>
          <w:rFonts w:ascii="Times New Roman" w:hAnsi="Times New Roman" w:cs="Times New Roman"/>
        </w:rPr>
      </w:pPr>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Środowisko – zanieczyszczenia i ochrona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Od czasu systematycznego zamykania kopalń w regionie wałbrzyskim oraz zamykania zakładów przemysłowych na całym obszarze LGD, które były potencjalnym źródłem zanieczyszczenia powietrza i wód, można stanowczo uznać, że region jest pozbawiony zanieczyszczeń. Od lat 90. sytuacja wciąż się poprawia i ma to także związek z coraz większą świadomością proekologiczną mieszkańców. Coraz częściej zamieniane są piece węglowe na ekologiczne źródła ciepła oraz instalowane panele słoneczne. Te ostatnie są mocno promowane przez urzędy gmin oraz organizacje ekologiczne jednak ze względu na wciąż wysokie ceny urządzeń ich stopień wykorzystania jest nadal niewystarczający. W ocenie uczestników w badaniu </w:t>
      </w:r>
      <w:proofErr w:type="spellStart"/>
      <w:r w:rsidRPr="00E87A5F">
        <w:rPr>
          <w:rFonts w:ascii="Times New Roman" w:hAnsi="Times New Roman" w:cs="Times New Roman"/>
        </w:rPr>
        <w:t>focusowym</w:t>
      </w:r>
      <w:proofErr w:type="spellEnd"/>
      <w:r w:rsidRPr="00E87A5F">
        <w:rPr>
          <w:rFonts w:ascii="Times New Roman" w:hAnsi="Times New Roman" w:cs="Times New Roman"/>
        </w:rPr>
        <w:t xml:space="preserve"> niska wiedza ekologiczna mieszkańców wynika z braku odpowiedniej informacji, szkoleń, warsztatów i świadomości, że to w jaki sposób ogrzewane są domy, jak segregowane śmieci itd., wpływa na naszą jakość życia i na stan środowiska. </w:t>
      </w:r>
    </w:p>
    <w:p w:rsidR="005F5E3C" w:rsidRDefault="005F5E3C" w:rsidP="003A2AD2">
      <w:pPr>
        <w:spacing w:after="0" w:line="240" w:lineRule="auto"/>
        <w:jc w:val="both"/>
        <w:rPr>
          <w:rFonts w:ascii="Times New Roman" w:hAnsi="Times New Roman" w:cs="Times New Roman"/>
        </w:rPr>
      </w:pPr>
      <w:r w:rsidRPr="00E87A5F">
        <w:rPr>
          <w:rFonts w:ascii="Times New Roman" w:hAnsi="Times New Roman" w:cs="Times New Roman"/>
        </w:rPr>
        <w:t xml:space="preserve">Ważnym elementem ochrony środowiska w ocenie uczestników wywiadów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są podejmowane działania proekologiczne, szczególnie na terenach wiejskich, co wiąże się z niskim poziomem świadomości ekologicznej w zakresie przyrody, ochrony środowiska i negatywnych zjawisk klimatycznych. To między innymi rozbudowa sieci wodno-kanalizacyjnej oraz program segregacji odpadów. Działania proekologiczne prowadzą również duże firmy zajmujące się wywozem śmieci i oczyszczalniami. Tak na przykład Sanikom z Lubawki zajmuje się biologicznym unieszkodliwianiem odpadów na pograniczu polsko-czeskim, budową miejsc na odpady inne niż obojętne i niebezpieczne w obrębie już istniejącego wysypiska w Lubawce i wiele innych działań opartych o projekty i współprace transgraniczną.</w:t>
      </w:r>
    </w:p>
    <w:p w:rsidR="003A2AD2" w:rsidRPr="003A2AD2" w:rsidRDefault="003A2AD2" w:rsidP="003A2AD2">
      <w:pPr>
        <w:spacing w:after="0" w:line="240" w:lineRule="auto"/>
        <w:jc w:val="both"/>
        <w:rPr>
          <w:rFonts w:ascii="Times New Roman" w:hAnsi="Times New Roman" w:cs="Times New Roman"/>
        </w:rPr>
      </w:pPr>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Zasoby przyrodnicze</w:t>
      </w:r>
    </w:p>
    <w:p w:rsidR="005F5E3C" w:rsidRPr="00E87A5F" w:rsidRDefault="005F5E3C" w:rsidP="005F5E3C">
      <w:pPr>
        <w:spacing w:after="0" w:line="240" w:lineRule="auto"/>
        <w:contextualSpacing/>
        <w:jc w:val="both"/>
        <w:rPr>
          <w:rFonts w:ascii="Times New Roman" w:hAnsi="Times New Roman" w:cs="Times New Roman"/>
          <w:b/>
        </w:rPr>
      </w:pPr>
      <w:r w:rsidRPr="00E87A5F">
        <w:rPr>
          <w:rFonts w:ascii="Times New Roman" w:hAnsi="Times New Roman" w:cs="Times New Roman"/>
        </w:rPr>
        <w:t>Trwające wciąż badania nad roślinnością obszaru wykazują, że pomimo iż flora nie jest bardzo bogata, to występują w niej liczne rzadkie okazy chronione. Jednym z wielu ciekawych przyrodniczych terenów są łąki w pobliżu wsi Kochanów, które porasta roślinność z obszaru morza śródziemnomorskiego. Na obszarze LGD znajdują się również parki krajobrazowe:</w:t>
      </w:r>
    </w:p>
    <w:p w:rsidR="005F5E3C" w:rsidRPr="00E87A5F" w:rsidRDefault="005F5E3C" w:rsidP="005F5E3C">
      <w:pPr>
        <w:pStyle w:val="Bezodstpw"/>
        <w:numPr>
          <w:ilvl w:val="0"/>
          <w:numId w:val="6"/>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 pow. 3155,4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Rudawski Park Krajobrazowy ( pow. 8814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Park Krajobrazowy Sudetów Wałbrzyskich ( pow. 6493 ha) </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Obszar Chronionego Krajobrazu Kopuły Chełmca (1200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Otulina Karkonoskiego Parku Narodowego, teren od Niedamirowa po Jarkowice – gmina Lubawka ( pow. 1400 ha)</w:t>
      </w:r>
    </w:p>
    <w:p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Rezerwaty przyrody i parki zdrojowe:</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„Głazy Krasnoludków” w Gorzeszowie (pow. 9,04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„Kruczy Kamień” ( pow. 10,21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Park Zdrojowy im. H. Wieniawskiego - park w stylu angielskim i</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Park Szwedzki, gdzie znajduje się niespełna 180 gatunków drzew i krzewów rodzimych i aklimatyzowanych z wieloma okazami drzew pomnikowych. </w:t>
      </w:r>
    </w:p>
    <w:p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Znaczną część obszaru LGD obejmuje również Natura 2000, program który ma na celu trwałą ochronę zagrożonych w skali UE typów ekosystemów. W oparciu o dyrektywy tworzy się systemu ochrony siedlisk ptasich oraz siedlisk przyrodniczych.</w:t>
      </w:r>
    </w:p>
    <w:p w:rsidR="005F5E3C" w:rsidRPr="00E87A5F" w:rsidRDefault="005F5E3C" w:rsidP="005F5E3C">
      <w:pPr>
        <w:pStyle w:val="Bezodstpw"/>
        <w:jc w:val="both"/>
        <w:rPr>
          <w:rFonts w:ascii="Times New Roman" w:hAnsi="Times New Roman" w:cs="Times New Roman"/>
          <w:b/>
        </w:rPr>
      </w:pPr>
      <w:r w:rsidRPr="00E87A5F">
        <w:rPr>
          <w:rFonts w:ascii="Times New Roman" w:hAnsi="Times New Roman" w:cs="Times New Roman"/>
          <w:b/>
        </w:rPr>
        <w:t>Powierzchnia obszarów chronionych w ha na terenach gmin należących do LGD.</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 xml:space="preserve">Karkonoski Park Narodowy: </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lastRenderedPageBreak/>
        <w:t>Rudawski Park Krajobrazowy: 6197 ha w gminach Kamienna Góra i Marciszów</w:t>
      </w:r>
    </w:p>
    <w:p w:rsidR="005F5E3C" w:rsidRPr="00E87A5F" w:rsidRDefault="005F5E3C" w:rsidP="005F5E3C">
      <w:pPr>
        <w:pStyle w:val="Bezodstpw"/>
        <w:numPr>
          <w:ilvl w:val="0"/>
          <w:numId w:val="4"/>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3155,40 ha w gminie Stare Bogaczowice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Park Krajobrazowych Sudetów Wałbrzyskich: 6493 ha w gminach Czarny Bór, Mieroszów, Boguszów Gorce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Obszar Chronionego Krajobrazu Kopuły Chełmca: 1200 ha w gminach Boguszów Gorce, Szczawno Zdrój</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Kruczy Kamień: 10,21 ha w gminie Lubawka</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„Głazy Krasnoludków”: 9,04 ha w gminie Kamienna Góra</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ptasie: 31577,91 ha w gminach: Czarny Bór, Mieroszów, Boguszów Gorce, Szczawno Zdrój, Stare Bogaczowice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 Góry Kamienne): 24098,85 ha w gminach: Mieroszów, Czarny Bór, Boguszów Gorce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(Masyw Chełmca): 1432,45 ha w gminach Boguszów Gorce, Szczawno Zdrój, Stare Bogaczowice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(Dobromierz) 1514,58 ha w gminie Stare Bogaczowice</w:t>
      </w:r>
    </w:p>
    <w:p w:rsidR="005F5E3C" w:rsidRPr="00E87A5F" w:rsidRDefault="005F5E3C" w:rsidP="005F5E3C">
      <w:pPr>
        <w:pStyle w:val="Bezodstpw"/>
        <w:jc w:val="both"/>
        <w:rPr>
          <w:rFonts w:ascii="Times New Roman" w:hAnsi="Times New Roman" w:cs="Times New Roman"/>
        </w:rPr>
      </w:pPr>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Uwarunkowania historyczne i kulturowe</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Historia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Historia obszaru LGD Kwiat Lnu sięga około VII w. n. e., kiedy to na tym terenie zaczyna się osadnictwo pierwszych Słowian – tu plemion Bobrzan. Na przełomie VIII i IX w. terytorium plemienne Bobrzan oraz terytoria pozostałych plemion, ustabilizowało się wewnętrznie w oparciu o sieć grodów, wyraźne granice naturalne od południa – pasmo Sudetów i zachodu – rzeki Bóbr i Kwisa oraz silnie umocnione punkty od północy i północnego wschodu. Już od 990 r. region znalazł się pod panowaniem księcia Mieszka I z rodu Piastów, a w wyniku rozdrobnienia księstw pod rządami kolejnych </w:t>
      </w:r>
      <w:proofErr w:type="spellStart"/>
      <w:r w:rsidRPr="00E87A5F">
        <w:rPr>
          <w:rFonts w:ascii="Times New Roman" w:hAnsi="Times New Roman" w:cs="Times New Roman"/>
        </w:rPr>
        <w:t>Piastowiczów</w:t>
      </w:r>
      <w:proofErr w:type="spellEnd"/>
      <w:r w:rsidRPr="00E87A5F">
        <w:rPr>
          <w:rFonts w:ascii="Times New Roman" w:hAnsi="Times New Roman" w:cs="Times New Roman"/>
        </w:rPr>
        <w:t>, dostał się pod władzę Czech. Najpóźniej Księstwo świdnicko – jaworskie, bo dopiero w 1392 r.</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Do wzrostu zaludnienia, zakładaniu miast na prawie magdeburskim w 2 poł. XII przyczynił się Bolesław Wysoki, który sprowadził na te ziemie osadników z różnych zakątków ówczesnej Europy. Kolejni jej suwerenowie – Henryk I Brodaty i Henryk Pobożny, rozbudowali sieć grodów i zamków obronnych ( teren LGD: zamek Cisy, ruiny zamku Konradów) patronowali licznym fundacjom klasztornym( Krzeszów, Stare Bogaczowice) oraz inicjowali wznoszenie kościołów parafialnych. Na obszarze LGD Kwiat Lnu ważną rolę odgrywał założony w 1242 r. przez księżnę Annę, wdowę po Henryku Pobożnym klasztor benedyktynów w Krzeszowie. Na ich miejsce niebawem zostali sprowadzeni cystersi i odtąd stali się nieodłącznym elementem krajobrazu historyczno-kulturowego regionu. Do cystersów należały rozległe majątki ziemskie: dobra cysterskie obejmowały ziemie wchodzące dziś w obszar LGD, a filie klasztorów zakładane były m.in. w Starych Bogaczowicach. Cystersi odegrali bardzo ważną rolę nie tylko gospodarczą, ale również kulturową. Widać to szczególnie w architekturze regionu ponieważ do kasaty dóbr w 1810 r. za sprawą zakonu powstało w okolicy wiele ważnych i interesujących budowli sakralnych oraz świeckich.( wymienione w tabelce niżej)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Wiek XV przyniósł ze sobą wojny husyckie, które nie ominęły żadnej chyba miejscowości, a nieliczne grody i miasta. W 1526 r. region wraz z innymi ziemiami korony czeskiej przeszedł pod panowanie Habsburgów. Nie bez śladu przetoczyła się przez region wojna trzydziestoletnia i kolejne wojny śląskie, przynosząc ze sobą również zmiany panujących. Na Śląsku panowanie przejęli Hohenzollernowie. Do 1806 r. regiony </w:t>
      </w:r>
      <w:proofErr w:type="spellStart"/>
      <w:r w:rsidRPr="00E87A5F">
        <w:rPr>
          <w:rFonts w:ascii="Times New Roman" w:hAnsi="Times New Roman" w:cs="Times New Roman"/>
        </w:rPr>
        <w:t>nadbobrzańskie</w:t>
      </w:r>
      <w:proofErr w:type="spellEnd"/>
      <w:r w:rsidRPr="00E87A5F">
        <w:rPr>
          <w:rFonts w:ascii="Times New Roman" w:hAnsi="Times New Roman" w:cs="Times New Roman"/>
        </w:rPr>
        <w:t xml:space="preserve"> stały się integralną częścią Prus. Pruskie panowanie odznaczało się nowym porządkiem administracyjnym, nową jakością budownictwa, ale też wzmożoną akcją germanizacyjną. (Każdy z okresów widoczny jest także w architekturze. Tabelka poniżej.) Pod pruskim panowaniem region pozostał aż do I wojny światowej. Nowy ład polityczny w Europie Środowej ukształtowany po klęsce państw Osi w I wojnie światowej, obaleniu monarchii w Rosji, Niemczech, Austrii i na Węgrzech oraz powstaniu niepodległej Polski i Czechosłowacji, nie pozostał bez wpływu na terytorialny kształt Śląska.  Nowe zmiany przyniósł 1945 r., kiedy między innymi Dolny Śląsk został włączony w granice Polski i nastąpił tak zwany „powrót do macierzy”. Rozpoczęła się wymiana ludności z jej obyczajami, kulturą, tradycją. Z „ziem odzyskanych” wysiedlano jej dotychczasowych mieszkańców – Niemców, a na ich miejsce przesiedlano ludność z dawnych Kresów Wschodnich, które zostały włączone do ZSRR. Nowe miejsce do życia po II wojnie światowej znaleźli tu także Warszawiacy, </w:t>
      </w:r>
      <w:proofErr w:type="spellStart"/>
      <w:r w:rsidRPr="00E87A5F">
        <w:rPr>
          <w:rFonts w:ascii="Times New Roman" w:hAnsi="Times New Roman" w:cs="Times New Roman"/>
        </w:rPr>
        <w:t>Nowosądeczczanie</w:t>
      </w:r>
      <w:proofErr w:type="spellEnd"/>
      <w:r w:rsidRPr="00E87A5F">
        <w:rPr>
          <w:rFonts w:ascii="Times New Roman" w:hAnsi="Times New Roman" w:cs="Times New Roman"/>
        </w:rPr>
        <w:t xml:space="preserve">, Rzeszowiacy. To przeniesienie ludności z kilku miejsc w jedno nowe, odmienne i obce, ale z całą z kulturą, obyczajami i tradycjami, spowodowało, że obszar LGD jest mozaiką kulturową. Doszło do tak zwanej homogenizacji kultury i zaniku jej odrębności. Trudno więc mówić o jednej wspólnej matrycy kulturowej dla wszystkich obecnych mieszkańców Dolnego Śląska. Jest to szczególnie mocno widoczne po zmianie ustrojowej i poszukiwaniu tożsamości „małych ojczyzn”. Jak bowiem znaleźć potrawę regionalną w rejonie, gdzie obok siebie mieszkają górale, Warszawiacy i Kresowiacy? Jakie tradycje, czyje tradycje i obyczaje mają być wspólne i wyróżniać region? Okazuje się jednak, że to co może być problemem, staje się okazją do tworzenia rzeczy niebagatelnych łączących mieszkańców regionu.  Zhomogenizowana kultura stała się też przyczynkiem do kładzenia akcentów na wyróżnianie i odtwarzania obyczajów mieszkańców przybyłych na te ziemie po 1945 r. z innych regionów Polski. Doskonałym przykładem jest Czarny Bór, którego przeważająca część mieszkańców to górale i obecnie tę góralskość w regionie podkreślają przez różnego rodzaju działania kulturowo-artystyczne (zespół Janicki). </w:t>
      </w:r>
    </w:p>
    <w:p w:rsidR="005F5E3C" w:rsidRPr="00E87A5F" w:rsidRDefault="005F5E3C" w:rsidP="005F5E3C">
      <w:pPr>
        <w:spacing w:after="0" w:line="240" w:lineRule="auto"/>
        <w:ind w:firstLine="709"/>
        <w:jc w:val="both"/>
        <w:rPr>
          <w:rFonts w:ascii="Times New Roman" w:hAnsi="Times New Roman" w:cs="Times New Roman"/>
        </w:rPr>
      </w:pP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Imprezy kulturowe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Nawiązujące do tradycji lokalnej i tradycji mieszkańców przybyłych na Dolny Śląsk po 1945 r.:</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Dni Ziemi Mieroszowskiej, Polsko-Czeski Bieg Mieszka i Dobrawy,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Kieślowski-Festiwal Filmowy w Sokołowsku, Konteksty – Festiwal Sztuki Efemerycznej  w Sokołowsku, Noc Świętojańska pod Mniszkiem, Rajd Walończyka, Babski Comber – B. Gorce, Święto Pieroga – Czarny Bór, Festiwale muzyczne w Szczawnie Zdroju: Międzynarodowy Festiwal Henryka Wieniawskiego, Międzynarodowy letni konkurs gitary klasycznej, koncerty w ramach Międzynarodowego Festiwal </w:t>
      </w:r>
      <w:proofErr w:type="spellStart"/>
      <w:r w:rsidRPr="00E87A5F">
        <w:rPr>
          <w:rFonts w:ascii="Times New Roman" w:hAnsi="Times New Roman" w:cs="Times New Roman"/>
        </w:rPr>
        <w:t>Wratislavia</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Cantans</w:t>
      </w:r>
      <w:proofErr w:type="spellEnd"/>
      <w:r w:rsidRPr="00E87A5F">
        <w:rPr>
          <w:rFonts w:ascii="Times New Roman" w:hAnsi="Times New Roman" w:cs="Times New Roman"/>
        </w:rPr>
        <w:t>, Jarmark Tkaczy Śląskich, Mała Wielkanoc – Lubawka, Imieniny św. Mateusza – impreza organizowana przy ruinach kościoła św. Mateusza w Uniemyślu, corocznie pod innym hasłem przewodnim, jednak zawsze związana z kulturą, rękodziełem i tradycją. Konkurs palm wielkanocnych – Krzeszów i Chełmsko Śląska oraz wiele imprez związanych z regionem, które nie mają charakteru cyklicznego. To choćby inscenizacje bitew, które na przestrzeni wieków rozegrały się w regionie: Bitwa o Strugę w gminie Stare Bogaczowice. Wrześniowe Dni otwarte domów przysłupowych ściągają także rzesze ciekawskich do Karczmy Sądowej w Uniemyślu.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Pomimo istniejących domów kultury w miasteczkach i na wsiach, ich oferta jest niewystarczająca. </w:t>
      </w:r>
    </w:p>
    <w:p w:rsidR="005F5E3C" w:rsidRPr="00E87A5F" w:rsidRDefault="005F5E3C" w:rsidP="005F5E3C">
      <w:pPr>
        <w:pStyle w:val="Akapitzlist"/>
        <w:tabs>
          <w:tab w:val="left" w:pos="426"/>
        </w:tabs>
        <w:spacing w:line="240" w:lineRule="auto"/>
        <w:ind w:left="0"/>
        <w:jc w:val="both"/>
        <w:outlineLvl w:val="2"/>
        <w:rPr>
          <w:rFonts w:ascii="Times New Roman" w:hAnsi="Times New Roman" w:cs="Times New Roman"/>
          <w:b/>
        </w:rPr>
      </w:pPr>
    </w:p>
    <w:p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9" w:name="_Toc433797027"/>
      <w:bookmarkStart w:id="60" w:name="_Toc439184064"/>
      <w:r w:rsidRPr="00E87A5F">
        <w:rPr>
          <w:rFonts w:ascii="Times New Roman" w:hAnsi="Times New Roman" w:cs="Times New Roman"/>
          <w:b/>
        </w:rPr>
        <w:t>Dziedzictwo kulturowe / zabytki</w:t>
      </w:r>
      <w:bookmarkEnd w:id="59"/>
      <w:bookmarkEnd w:id="60"/>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13</w:t>
      </w:r>
      <w:r w:rsidR="004F4A74" w:rsidRPr="00E87A5F">
        <w:rPr>
          <w:rFonts w:ascii="Times New Roman" w:hAnsi="Times New Roman"/>
          <w:sz w:val="22"/>
          <w:szCs w:val="22"/>
        </w:rPr>
        <w:fldChar w:fldCharType="end"/>
      </w:r>
      <w:r w:rsidRPr="00E87A5F">
        <w:rPr>
          <w:rFonts w:ascii="Times New Roman" w:hAnsi="Times New Roman"/>
          <w:sz w:val="22"/>
          <w:szCs w:val="22"/>
        </w:rPr>
        <w:t>. Najważniejsze zabytki w poszczególnych gminach</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50"/>
        <w:gridCol w:w="5273"/>
        <w:gridCol w:w="3881"/>
      </w:tblGrid>
      <w:tr w:rsidR="005F5E3C" w:rsidRPr="00E87A5F" w:rsidTr="00067FD0">
        <w:tc>
          <w:tcPr>
            <w:tcW w:w="0" w:type="auto"/>
            <w:shd w:val="clear" w:color="auto" w:fill="B8CCE4" w:themeFill="accent1" w:themeFillTint="66"/>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Gmina</w:t>
            </w:r>
          </w:p>
        </w:tc>
        <w:tc>
          <w:tcPr>
            <w:tcW w:w="0" w:type="auto"/>
            <w:shd w:val="clear" w:color="auto" w:fill="B8CCE4" w:themeFill="accent1" w:themeFillTint="66"/>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Zabytki architektury ruchome i nieruchome</w:t>
            </w:r>
          </w:p>
        </w:tc>
        <w:tc>
          <w:tcPr>
            <w:tcW w:w="0" w:type="auto"/>
            <w:shd w:val="clear" w:color="auto" w:fill="B8CCE4" w:themeFill="accent1" w:themeFillTint="66"/>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Stan zabytku i dostępność</w:t>
            </w:r>
          </w:p>
        </w:tc>
      </w:tr>
      <w:tr w:rsidR="005F5E3C" w:rsidRPr="00E87A5F" w:rsidTr="00067FD0">
        <w:trPr>
          <w:trHeight w:val="240"/>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Kamienna Góra</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Pocysterski zespół klasztorny w Krzeszowie</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Stan b. dobry, całoroczny, biletowany</w:t>
            </w:r>
          </w:p>
        </w:tc>
      </w:tr>
      <w:tr w:rsidR="005F5E3C" w:rsidRPr="00E87A5F" w:rsidTr="00067FD0">
        <w:trPr>
          <w:trHeight w:val="33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Kalwaria krzeszowska i Pawilon na Wodzie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dostępna, stan bardzo dobry</w:t>
            </w:r>
          </w:p>
        </w:tc>
      </w:tr>
      <w:tr w:rsidR="005F5E3C" w:rsidRPr="00E87A5F" w:rsidTr="00067FD0">
        <w:trPr>
          <w:trHeight w:val="36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w Krzeszowie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Obiekt po remoncie, zamknięty, pięknie położony</w:t>
            </w:r>
          </w:p>
        </w:tc>
      </w:tr>
      <w:tr w:rsidR="005F5E3C" w:rsidRPr="00E87A5F" w:rsidTr="00067FD0">
        <w:trPr>
          <w:trHeight w:val="40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Mauzoleum Piastów Śląskich w Krzeszowie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wstęp biletowany, całoroczny</w:t>
            </w:r>
          </w:p>
        </w:tc>
      </w:tr>
      <w:tr w:rsidR="005F5E3C" w:rsidRPr="00E87A5F" w:rsidTr="00067FD0">
        <w:trPr>
          <w:trHeight w:val="703"/>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Mauzoleum </w:t>
            </w:r>
            <w:proofErr w:type="spellStart"/>
            <w:r w:rsidRPr="00E87A5F">
              <w:rPr>
                <w:rFonts w:ascii="Times New Roman" w:hAnsi="Times New Roman" w:cs="Times New Roman"/>
              </w:rPr>
              <w:t>Schaffgotschów</w:t>
            </w:r>
            <w:proofErr w:type="spellEnd"/>
            <w:r w:rsidRPr="00E87A5F">
              <w:rPr>
                <w:rFonts w:ascii="Times New Roman" w:hAnsi="Times New Roman" w:cs="Times New Roman"/>
              </w:rPr>
              <w:t xml:space="preserve"> w Raszowie i kościół z XIV w.</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klucz dostępny w domu obok, stan dobry</w:t>
            </w:r>
          </w:p>
        </w:tc>
      </w:tr>
      <w:tr w:rsidR="005F5E3C" w:rsidRPr="00E87A5F" w:rsidTr="00067FD0">
        <w:trPr>
          <w:trHeight w:val="45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XVII w. w Kochanowie </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dostępny w czasie mszy</w:t>
            </w:r>
          </w:p>
        </w:tc>
      </w:tr>
      <w:tr w:rsidR="005F5E3C" w:rsidRPr="00E87A5F" w:rsidTr="00067FD0">
        <w:trPr>
          <w:trHeight w:val="46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XIV w. w Krzeszówku </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w:t>
            </w:r>
          </w:p>
        </w:tc>
      </w:tr>
      <w:tr w:rsidR="005F5E3C" w:rsidRPr="00E87A5F" w:rsidTr="00067FD0">
        <w:trPr>
          <w:trHeight w:val="375"/>
        </w:trPr>
        <w:tc>
          <w:tcPr>
            <w:tcW w:w="0" w:type="auto"/>
            <w:vMerge w:val="restart"/>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Lubawka</w:t>
            </w:r>
          </w:p>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14 Wspomożycieli - Lubawka</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i w dniu św. Krzysztofa</w:t>
            </w:r>
          </w:p>
        </w:tc>
      </w:tr>
      <w:tr w:rsidR="005F5E3C" w:rsidRPr="00E87A5F" w:rsidTr="00067FD0">
        <w:trPr>
          <w:trHeight w:val="593"/>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XIII w. wielokrotnie przebudowywany- Lubawka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 dobry, kościół otwarty</w:t>
            </w:r>
          </w:p>
        </w:tc>
      </w:tr>
      <w:tr w:rsidR="005F5E3C" w:rsidRPr="00E87A5F" w:rsidTr="00067FD0">
        <w:trPr>
          <w:trHeight w:val="559"/>
        </w:trPr>
        <w:tc>
          <w:tcPr>
            <w:tcW w:w="0" w:type="auto"/>
            <w:vMerge/>
          </w:tcPr>
          <w:p w:rsidR="005F5E3C" w:rsidRPr="00E87A5F" w:rsidRDefault="005F5E3C" w:rsidP="00067FD0">
            <w:pPr>
              <w:pStyle w:val="Akapitzlist"/>
              <w:suppressAutoHyphens w:val="0"/>
              <w:spacing w:line="240" w:lineRule="auto"/>
              <w:contextualSpacing/>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Rynek wraz z zespołem barokowych      klasycystycznych kamienic - Lubawka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rsidTr="00067FD0">
        <w:trPr>
          <w:trHeight w:val="37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Ratusz z 1726 r. - Lubawka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rsidTr="00067FD0">
        <w:trPr>
          <w:trHeight w:val="40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Domów Tkaczy Śląskich w Chełmsku Śl.</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oraz trzy domki – wewnątrz, wstęp wolny</w:t>
            </w:r>
          </w:p>
        </w:tc>
      </w:tr>
      <w:tr w:rsidR="005F5E3C" w:rsidRPr="00E87A5F" w:rsidTr="00067FD0">
        <w:trPr>
          <w:trHeight w:val="40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XVII w. – Chełmsko Śląskie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w czasie mszy, stan bardzo dobry</w:t>
            </w:r>
          </w:p>
        </w:tc>
      </w:tr>
      <w:tr w:rsidR="005F5E3C" w:rsidRPr="00E87A5F" w:rsidTr="00067FD0">
        <w:trPr>
          <w:trHeight w:val="79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Karczma sądowa – drewniano-murowany budynek przysłupowy z XVIII w. w Uniemyślu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darmowe w trakcie Dni Domów Przysłupowych – wrzesień i w trakcie imprez; remontowany</w:t>
            </w:r>
          </w:p>
        </w:tc>
      </w:tr>
      <w:tr w:rsidR="005F5E3C" w:rsidRPr="00E87A5F" w:rsidTr="00067FD0">
        <w:trPr>
          <w:trHeight w:val="49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 w. w Okrzeszynie</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latem przez kratę w drzwiach</w:t>
            </w:r>
          </w:p>
        </w:tc>
      </w:tr>
      <w:tr w:rsidR="005F5E3C" w:rsidRPr="00E87A5F" w:rsidTr="00067FD0">
        <w:trPr>
          <w:trHeight w:val="337"/>
        </w:trPr>
        <w:tc>
          <w:tcPr>
            <w:tcW w:w="0" w:type="auto"/>
            <w:vMerge w:val="restart"/>
            <w:tcBorders>
              <w:right w:val="single" w:sz="4" w:space="0" w:color="auto"/>
            </w:tcBorders>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Marciszów</w:t>
            </w:r>
          </w:p>
        </w:tc>
        <w:tc>
          <w:tcPr>
            <w:tcW w:w="0" w:type="auto"/>
            <w:tcBorders>
              <w:left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Dworzec kolejowy z XIX w. w Marciszowie</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 stan dobry</w:t>
            </w:r>
          </w:p>
        </w:tc>
      </w:tr>
      <w:tr w:rsidR="005F5E3C" w:rsidRPr="00E87A5F" w:rsidTr="00067FD0">
        <w:trPr>
          <w:trHeight w:val="390"/>
        </w:trPr>
        <w:tc>
          <w:tcPr>
            <w:tcW w:w="0" w:type="auto"/>
            <w:vMerge/>
            <w:tcBorders>
              <w:right w:val="single" w:sz="4" w:space="0" w:color="auto"/>
            </w:tcBorders>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XIV w. - Marciszów</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Otwierany okazjonalnie</w:t>
            </w:r>
          </w:p>
        </w:tc>
      </w:tr>
      <w:tr w:rsidR="005F5E3C" w:rsidRPr="00E87A5F" w:rsidTr="00067FD0">
        <w:trPr>
          <w:trHeight w:val="510"/>
        </w:trPr>
        <w:tc>
          <w:tcPr>
            <w:tcW w:w="0" w:type="auto"/>
            <w:vMerge/>
            <w:tcBorders>
              <w:right w:val="single" w:sz="4" w:space="0" w:color="auto"/>
            </w:tcBorders>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Pałac w Ciechanowicach </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a zabytkowy park okazjonalnie</w:t>
            </w:r>
          </w:p>
        </w:tc>
      </w:tr>
      <w:tr w:rsidR="005F5E3C" w:rsidRPr="00E87A5F" w:rsidTr="00067FD0">
        <w:trPr>
          <w:trHeight w:val="420"/>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lastRenderedPageBreak/>
              <w:t>Czarny Bór</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średniowiecznego zamku</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Mało widoczne ruiny</w:t>
            </w:r>
          </w:p>
        </w:tc>
      </w:tr>
      <w:tr w:rsidR="005F5E3C" w:rsidRPr="00E87A5F" w:rsidTr="00067FD0">
        <w:trPr>
          <w:trHeight w:val="319"/>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Renesansowy pałac – obecnie szpital</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wymaga remontu</w:t>
            </w:r>
          </w:p>
        </w:tc>
      </w:tr>
      <w:tr w:rsidR="005F5E3C" w:rsidRPr="00E87A5F" w:rsidTr="00067FD0">
        <w:trPr>
          <w:trHeight w:val="380"/>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Boguszów-Gorce</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Barokowy ratusz w Boguszowie</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rsidTr="00067FD0">
        <w:trPr>
          <w:trHeight w:val="46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świętej Trójcy z XVIII w. w Boguszowie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w:t>
            </w:r>
          </w:p>
        </w:tc>
      </w:tr>
      <w:tr w:rsidR="005F5E3C" w:rsidRPr="00E87A5F" w:rsidTr="00067FD0">
        <w:trPr>
          <w:trHeight w:val="63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Szyb Witold – kompleks budynków pokopalnianych w Gorcach</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biletowane, stan b. dobry</w:t>
            </w:r>
          </w:p>
        </w:tc>
      </w:tr>
      <w:tr w:rsidR="005F5E3C" w:rsidRPr="00E87A5F" w:rsidTr="00067FD0">
        <w:trPr>
          <w:trHeight w:val="554"/>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Mieroszów</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Rynek w Mieroszowie z zespołem barokowych kamienic</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rsidTr="00067FD0">
        <w:trPr>
          <w:trHeight w:val="42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Kościół św. Michała z XV w.</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stan dobry</w:t>
            </w:r>
          </w:p>
        </w:tc>
      </w:tr>
      <w:tr w:rsidR="005F5E3C" w:rsidRPr="00E87A5F" w:rsidTr="00067FD0">
        <w:trPr>
          <w:trHeight w:val="612"/>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Budynek dawnego sądu, obecnie szkoła z XX w. w Mieroszowie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rsidTr="00067FD0">
        <w:trPr>
          <w:trHeight w:val="55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Zakład zdrojowy dr Brehmera z XIX „Grunwald” w Sokołowsku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 trakcie remontu</w:t>
            </w:r>
          </w:p>
        </w:tc>
      </w:tr>
      <w:tr w:rsidR="005F5E3C" w:rsidRPr="00E87A5F" w:rsidTr="00067FD0">
        <w:trPr>
          <w:trHeight w:val="403"/>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Cerkiew prawosławna z XIX w. – Sokołowsko</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otwarta okazjonalnie</w:t>
            </w:r>
          </w:p>
        </w:tc>
      </w:tr>
      <w:tr w:rsidR="005F5E3C" w:rsidRPr="00E87A5F" w:rsidTr="00067FD0">
        <w:trPr>
          <w:trHeight w:val="267"/>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Sanatorium „Biały Orzeł” w Sokołowsku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stan dobry</w:t>
            </w:r>
          </w:p>
        </w:tc>
      </w:tr>
      <w:tr w:rsidR="005F5E3C" w:rsidRPr="00E87A5F" w:rsidTr="00067FD0">
        <w:trPr>
          <w:trHeight w:val="412"/>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kamienic z XIX i XX w. w Sokołowsku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rsidTr="00067FD0">
        <w:trPr>
          <w:trHeight w:val="69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wniebowstąpienia NMP z 1600 r. w Unisławiu Śląskim</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rsidTr="00067FD0">
        <w:trPr>
          <w:trHeight w:val="363"/>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Drewniana karczma z poł. XIX w. w Unisławiu Śl.</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w:t>
            </w:r>
          </w:p>
        </w:tc>
      </w:tr>
      <w:tr w:rsidR="005F5E3C" w:rsidRPr="00E87A5F" w:rsidTr="00067FD0">
        <w:trPr>
          <w:trHeight w:val="604"/>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 Jadwigi w Rybnicy Leśnej</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rsidTr="00067FD0">
        <w:trPr>
          <w:trHeight w:val="52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Schronisko Andrzejówka z XX w. w Rybnicy Leśnej</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dobry</w:t>
            </w:r>
          </w:p>
        </w:tc>
      </w:tr>
      <w:tr w:rsidR="005F5E3C" w:rsidRPr="00E87A5F" w:rsidTr="00067FD0">
        <w:trPr>
          <w:trHeight w:val="365"/>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Szczawno Zdrój</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Teatr Zdrojowy z XIX w. w Szczawnie Zdroju</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stan b. dobry</w:t>
            </w:r>
          </w:p>
        </w:tc>
      </w:tr>
      <w:tr w:rsidR="005F5E3C" w:rsidRPr="00E87A5F" w:rsidTr="00067FD0">
        <w:trPr>
          <w:trHeight w:val="57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Szpital uzdrowiskowy „Korona Piastowska” z 1818 r. w Szczawnie Zdroju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rsidTr="00067FD0">
        <w:trPr>
          <w:trHeight w:val="89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„Dworzysko” – dawna gospoda z stylu szwajcarskim z 1845 r. – obecnie kompleks hotelowo-rekreacyjny ze stadniną  - Szczawno Zdrój</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rsidTr="00067FD0">
        <w:trPr>
          <w:trHeight w:val="61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Wieża Anny – punkt widokowy z 1818 r. – Szczawno Zdrój</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otwarty okazjonalnie</w:t>
            </w:r>
          </w:p>
        </w:tc>
      </w:tr>
      <w:tr w:rsidR="005F5E3C" w:rsidRPr="00E87A5F" w:rsidTr="00067FD0">
        <w:trPr>
          <w:trHeight w:val="30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Hala spacerowa i pijalnia wód</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rsidTr="00067FD0">
        <w:trPr>
          <w:trHeight w:val="643"/>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Stare Bogaczowice</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Klasztor pocysterski z kościołem z XVIII w. – Stare Bogaczowice</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 i    okazjonalnie</w:t>
            </w:r>
          </w:p>
        </w:tc>
      </w:tr>
      <w:tr w:rsidR="005F5E3C" w:rsidRPr="00E87A5F" w:rsidTr="00067FD0">
        <w:trPr>
          <w:trHeight w:val="41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z XVIII w. – Stare Bogaczowice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wnętrze okazjonalnie</w:t>
            </w:r>
          </w:p>
        </w:tc>
      </w:tr>
      <w:tr w:rsidR="005F5E3C" w:rsidRPr="00E87A5F" w:rsidTr="00067FD0">
        <w:trPr>
          <w:trHeight w:val="307"/>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parafialny z XIV w. - Struga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w:t>
            </w:r>
          </w:p>
        </w:tc>
      </w:tr>
      <w:tr w:rsidR="005F5E3C" w:rsidRPr="00E87A5F" w:rsidTr="00067FD0">
        <w:trPr>
          <w:trHeight w:val="58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pałacowy z XVI w. - Struga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przewodnik miejscowy</w:t>
            </w:r>
          </w:p>
        </w:tc>
      </w:tr>
      <w:tr w:rsidR="005F5E3C" w:rsidRPr="00E87A5F" w:rsidTr="00067FD0">
        <w:trPr>
          <w:trHeight w:val="39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zamku Cisy - Cieszów</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Ogólnodostępne</w:t>
            </w:r>
          </w:p>
        </w:tc>
      </w:tr>
      <w:tr w:rsidR="005F5E3C" w:rsidRPr="00E87A5F" w:rsidTr="00067FD0">
        <w:trPr>
          <w:trHeight w:val="43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Wiatrak holenderski – Gostków</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obiekt prywatny</w:t>
            </w:r>
          </w:p>
        </w:tc>
      </w:tr>
    </w:tbl>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1" w:name="_Toc439184065"/>
      <w:r w:rsidRPr="00E87A5F">
        <w:rPr>
          <w:rFonts w:ascii="Times New Roman" w:hAnsi="Times New Roman" w:cs="Times New Roman"/>
        </w:rPr>
        <w:t xml:space="preserve">Zwiedzanie regionu koncentruje się głównie przy obiektach ogólnie znanych i popularnych, bowiem to ich sława i wartości artystyczne przyciągają najliczniej turystów. Jednak obok tych sztandarowych istnieje bardzo dużo zabytków, które nie są promowane, nie mają marki a zwiedzane są przez turystów tzw. poszukujących lub </w:t>
      </w:r>
      <w:r w:rsidRPr="00E87A5F">
        <w:rPr>
          <w:rFonts w:ascii="Times New Roman" w:hAnsi="Times New Roman" w:cs="Times New Roman"/>
        </w:rPr>
        <w:lastRenderedPageBreak/>
        <w:t>przypadkiem, z reklamy „szeptanej” itd. Te niszowe, cenne obiekty wymagają promocji i oznakowania, które przyciągnęłoby do nich większe grupy turystyczne.</w:t>
      </w:r>
      <w:bookmarkEnd w:id="61"/>
    </w:p>
    <w:p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2" w:name="_Toc439184066"/>
      <w:r w:rsidRPr="00E87A5F">
        <w:rPr>
          <w:rFonts w:ascii="Times New Roman" w:hAnsi="Times New Roman" w:cs="Times New Roman"/>
        </w:rPr>
        <w:t xml:space="preserve">Głównymi centrami turystycznymi i pielgrzymkowymi są: </w:t>
      </w:r>
      <w:r w:rsidRPr="00E87A5F">
        <w:rPr>
          <w:rFonts w:ascii="Times New Roman" w:hAnsi="Times New Roman" w:cs="Times New Roman"/>
          <w:b/>
        </w:rPr>
        <w:t>zespół pocysterski w Krzeszowie</w:t>
      </w:r>
      <w:r w:rsidRPr="00E87A5F">
        <w:rPr>
          <w:rFonts w:ascii="Times New Roman" w:hAnsi="Times New Roman" w:cs="Times New Roman"/>
        </w:rPr>
        <w:t xml:space="preserve">, </w:t>
      </w:r>
      <w:r w:rsidRPr="00E87A5F">
        <w:rPr>
          <w:rFonts w:ascii="Times New Roman" w:hAnsi="Times New Roman" w:cs="Times New Roman"/>
          <w:b/>
        </w:rPr>
        <w:t>Domy Tkaczy Śląskich w Chełmsku Śl</w:t>
      </w:r>
      <w:r w:rsidRPr="00E87A5F">
        <w:rPr>
          <w:rFonts w:ascii="Times New Roman" w:hAnsi="Times New Roman" w:cs="Times New Roman"/>
        </w:rPr>
        <w:t xml:space="preserve">., </w:t>
      </w:r>
      <w:r w:rsidRPr="00E87A5F">
        <w:rPr>
          <w:rFonts w:ascii="Times New Roman" w:hAnsi="Times New Roman" w:cs="Times New Roman"/>
          <w:b/>
        </w:rPr>
        <w:t>Uzdrowisko Szczawno Zdrój</w:t>
      </w:r>
      <w:r w:rsidRPr="00E87A5F">
        <w:rPr>
          <w:rFonts w:ascii="Times New Roman" w:hAnsi="Times New Roman" w:cs="Times New Roman"/>
        </w:rPr>
        <w:t xml:space="preserve">, </w:t>
      </w:r>
      <w:r w:rsidRPr="00E87A5F">
        <w:rPr>
          <w:rFonts w:ascii="Times New Roman" w:hAnsi="Times New Roman" w:cs="Times New Roman"/>
          <w:b/>
        </w:rPr>
        <w:t>Sokołowsko</w:t>
      </w:r>
      <w:r w:rsidRPr="00E87A5F">
        <w:rPr>
          <w:rFonts w:ascii="Times New Roman" w:hAnsi="Times New Roman" w:cs="Times New Roman"/>
        </w:rPr>
        <w:t xml:space="preserve"> – jako miejscowość sanatoryjna oraz festiwalowa kiedy we wrześniu odbywa się tu festiwalu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 Pozostałe miejsca wymagają promocji, oznakowania, opisów itd.</w:t>
      </w:r>
      <w:bookmarkEnd w:id="62"/>
      <w:r w:rsidRPr="00E87A5F">
        <w:rPr>
          <w:rFonts w:ascii="Times New Roman" w:hAnsi="Times New Roman" w:cs="Times New Roman"/>
        </w:rPr>
        <w:t xml:space="preserve">   </w:t>
      </w:r>
    </w:p>
    <w:p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3" w:name="_Toc439184067"/>
      <w:r w:rsidRPr="00E87A5F">
        <w:rPr>
          <w:rFonts w:ascii="Times New Roman" w:hAnsi="Times New Roman" w:cs="Times New Roman"/>
        </w:rPr>
        <w:t xml:space="preserve">Obok sztandarowych obiektów zabytkowych, znajdziemy absolutnie unikatowe i wyjątkowe obiekty nie tylko sakralne, ale również świeckie. Nie można pominąć ruin zamków, kościołów i pałaców, które wpisują się w region i stanowią jego niewątpliwą atrakcję. Część z tych obiektów w tym również starej zabudowy i parków wiejskich znajduje się w posiadaniu lub pod opieką osób prywatnych i stowarzyszeń, które starają się pozyskać pieniądze na ich ratowanie, ze względu na ich zły stan. Charakterystyczne dla całego obszaru LGD są liczne kapliczki przydrożne i słupy maryjne oraz rzeźby świętych (m.in. św. </w:t>
      </w:r>
      <w:r w:rsidRPr="00E87A5F">
        <w:rPr>
          <w:rFonts w:ascii="Times New Roman" w:hAnsi="Times New Roman" w:cs="Times New Roman"/>
          <w:b/>
        </w:rPr>
        <w:t>Nepomucen, Florian, św. Anna</w:t>
      </w:r>
      <w:r w:rsidRPr="00E87A5F">
        <w:rPr>
          <w:rFonts w:ascii="Times New Roman" w:hAnsi="Times New Roman" w:cs="Times New Roman"/>
        </w:rPr>
        <w:t xml:space="preserve">) stawiane tu w XVIII w. Od średniowiecza pozostały absolutnie wyjątkowe krzyże pokutne – relikty prawa średniowiecznego. Ale także tu znajdziemy jedyny w swoim rodzaju </w:t>
      </w:r>
      <w:r w:rsidRPr="00E87A5F">
        <w:rPr>
          <w:rFonts w:ascii="Times New Roman" w:hAnsi="Times New Roman" w:cs="Times New Roman"/>
          <w:b/>
        </w:rPr>
        <w:t>stół sędziowski w Kochanowie</w:t>
      </w:r>
      <w:r w:rsidRPr="00E87A5F">
        <w:rPr>
          <w:rFonts w:ascii="Times New Roman" w:hAnsi="Times New Roman" w:cs="Times New Roman"/>
        </w:rPr>
        <w:t xml:space="preserve"> – również relikt prawa średniowiecznego. W wielu wsiach, które w większości są wsiami łańcuchowymi pozostała charakterystyczna dla Sudetów zabudowa: </w:t>
      </w:r>
      <w:r w:rsidRPr="00E87A5F">
        <w:rPr>
          <w:rFonts w:ascii="Times New Roman" w:hAnsi="Times New Roman" w:cs="Times New Roman"/>
          <w:b/>
        </w:rPr>
        <w:t>domy przysłupowe, mury pruskie</w:t>
      </w:r>
      <w:r w:rsidRPr="00E87A5F">
        <w:rPr>
          <w:rFonts w:ascii="Times New Roman" w:hAnsi="Times New Roman" w:cs="Times New Roman"/>
        </w:rPr>
        <w:t xml:space="preserve"> i niskie chaty ze stromymi dachami, tak wyjątkowe w Karkonoszach. W Rybnicy Leśnej znaleźć można drewniany kościół z końca XVI w., przykład ewangelickiej, wiejskiej sztuki sakralnej nie dotkniętej </w:t>
      </w:r>
      <w:proofErr w:type="spellStart"/>
      <w:r w:rsidRPr="00E87A5F">
        <w:rPr>
          <w:rFonts w:ascii="Times New Roman" w:hAnsi="Times New Roman" w:cs="Times New Roman"/>
          <w:i/>
        </w:rPr>
        <w:t>barokizacją</w:t>
      </w:r>
      <w:proofErr w:type="spellEnd"/>
      <w:r w:rsidRPr="00E87A5F">
        <w:rPr>
          <w:rFonts w:ascii="Times New Roman" w:hAnsi="Times New Roman" w:cs="Times New Roman"/>
        </w:rPr>
        <w:t xml:space="preserve">. Rzecz wyjątkowa, choć bardzo mało znana. Interesująca jest także </w:t>
      </w:r>
      <w:r w:rsidRPr="00E87A5F">
        <w:rPr>
          <w:rFonts w:ascii="Times New Roman" w:hAnsi="Times New Roman" w:cs="Times New Roman"/>
          <w:b/>
        </w:rPr>
        <w:t>zabudowa industrialna</w:t>
      </w:r>
      <w:r w:rsidRPr="00E87A5F">
        <w:rPr>
          <w:rFonts w:ascii="Times New Roman" w:hAnsi="Times New Roman" w:cs="Times New Roman"/>
        </w:rPr>
        <w:t xml:space="preserve"> w górniczych dzielnicach Boguszowa i Gorc. Poruszając się szlakami pieszymi często można zauważyć pamiętające XVIII w. kamienne oznaczenia włości – głównie cysterskich i kamienne oznaczenia drogowe z XIX w., kiedy rozwijał się tu dynamicznie ruch turystyczny.</w:t>
      </w:r>
      <w:bookmarkEnd w:id="63"/>
    </w:p>
    <w:p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p>
    <w:p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4" w:name="_Toc433797028"/>
      <w:bookmarkStart w:id="65" w:name="_Toc439184068"/>
      <w:r w:rsidRPr="00E87A5F">
        <w:rPr>
          <w:rFonts w:ascii="Times New Roman" w:hAnsi="Times New Roman" w:cs="Times New Roman"/>
          <w:b/>
        </w:rPr>
        <w:t>Obszary atrakcyjne turystycznie</w:t>
      </w:r>
      <w:bookmarkEnd w:id="64"/>
      <w:bookmarkEnd w:id="65"/>
    </w:p>
    <w:p w:rsidR="005F5E3C" w:rsidRPr="00E87A5F" w:rsidRDefault="005F5E3C" w:rsidP="005F5E3C">
      <w:pPr>
        <w:pStyle w:val="Akapitzlist"/>
        <w:spacing w:after="0" w:line="240" w:lineRule="auto"/>
        <w:ind w:left="426"/>
        <w:jc w:val="both"/>
        <w:outlineLvl w:val="2"/>
        <w:rPr>
          <w:rFonts w:ascii="Times New Roman" w:hAnsi="Times New Roman" w:cs="Times New Roman"/>
          <w:b/>
        </w:rPr>
      </w:pPr>
      <w:bookmarkStart w:id="66" w:name="_Toc439184069"/>
      <w:r w:rsidRPr="00E87A5F">
        <w:rPr>
          <w:rFonts w:ascii="Times New Roman" w:hAnsi="Times New Roman" w:cs="Times New Roman"/>
        </w:rPr>
        <w:t>Na terenie LGD bez przeszkód można uprawiać kilka rodzajów turystyki:</w:t>
      </w:r>
      <w:bookmarkEnd w:id="66"/>
      <w:r w:rsidRPr="00E87A5F">
        <w:rPr>
          <w:rFonts w:ascii="Times New Roman" w:hAnsi="Times New Roman" w:cs="Times New Roman"/>
        </w:rPr>
        <w:t xml:space="preserve"> </w:t>
      </w:r>
    </w:p>
    <w:p w:rsidR="005F5E3C" w:rsidRPr="00E87A5F" w:rsidRDefault="005F5E3C" w:rsidP="005F5E3C">
      <w:pPr>
        <w:pStyle w:val="Akapitzlist"/>
        <w:numPr>
          <w:ilvl w:val="0"/>
          <w:numId w:val="7"/>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aktywna (szlaki piesze, rowerowe, konne, narciarskie, stoki narciarskie, wzniesienia szybowcowe, paralotniarskie itd.)</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kulturowa (obiekty muzealne, izby pamięci, domowe muzea, szyby kopalniane – centra kultury, np.: Szyb Witold w Gorcach, Albinów 45 w Okrzeszynie, Domowe Muzeum w Pustelniku)</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religijna (kalwarie i sanktuaria, szlak Jakubowy, najdłuższa droga pielgrzymkowa św. Anny z Krzeszowa do Chełmska Śl. np.: Krzeszów, zach. część Szlaku Jakubowego, kaplice św. Anny – Krzeszów- Lubawka- Chełmsko Śląskie,  drewniane kościoły </w:t>
      </w:r>
      <w:proofErr w:type="spellStart"/>
      <w:r w:rsidRPr="00E87A5F">
        <w:rPr>
          <w:rFonts w:ascii="Times New Roman" w:hAnsi="Times New Roman" w:cs="Times New Roman"/>
        </w:rPr>
        <w:t>poewangelickie</w:t>
      </w:r>
      <w:proofErr w:type="spellEnd"/>
      <w:r w:rsidRPr="00E87A5F">
        <w:rPr>
          <w:rFonts w:ascii="Times New Roman" w:hAnsi="Times New Roman" w:cs="Times New Roman"/>
        </w:rPr>
        <w:t xml:space="preserve"> – Rybnica Leśna),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etniczna (mini skanseny, imprezy świąteczne – konkurs palmowy, jarmarki bożonarodzeniowe, Mała Wielkanoc w Lubawce)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cmentarna (zabytkowe cmentarze, liczne epitafia nagrobne, mauzolea, kirkut)</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przyrodnicza (szlaki przyrodnicze, mini zoo - Łączna, ścieżki edukacyjne)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rodzinna (łatwe szlaki turystyczne, atrakcje dla dzieci, mini zoo, agroturystyki ze specjalizacją rodzinną),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historyczna (podziemna fabryka </w:t>
      </w:r>
      <w:proofErr w:type="spellStart"/>
      <w:r w:rsidRPr="00E87A5F">
        <w:rPr>
          <w:rFonts w:ascii="Times New Roman" w:hAnsi="Times New Roman" w:cs="Times New Roman"/>
        </w:rPr>
        <w:t>Arado</w:t>
      </w:r>
      <w:proofErr w:type="spellEnd"/>
      <w:r w:rsidRPr="00E87A5F">
        <w:rPr>
          <w:rFonts w:ascii="Times New Roman" w:hAnsi="Times New Roman" w:cs="Times New Roman"/>
        </w:rPr>
        <w:t>, dawne obozy koncentracyjne, liczne miejsca związane z II wojną światową, pola bitew)</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społeczna (łatwe szlaki dla seniorów, miejsca idealne na jednodniowe grupowe wycieczki)</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medyczna ( sanatoria w Szczawnie Zdroju, Sokołowsku i Spa)</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industrialna (budynki pokopalniane, szyby i dawne fabryki),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sentymentalna ( miejsca związane z dawnymi mieszkańcami regionu, muzea)</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kulinarna (restauracje z wyjątkowymi, regionalnymi potrawami – Pierogi czarnoborskie, Podpłomyk cysterski, Bomba Apostoła, sery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xml:space="preserve">). </w:t>
      </w:r>
    </w:p>
    <w:p w:rsidR="005F5E3C" w:rsidRPr="00E87A5F" w:rsidRDefault="005F5E3C" w:rsidP="003A2AD2">
      <w:pPr>
        <w:spacing w:line="240" w:lineRule="auto"/>
        <w:jc w:val="both"/>
        <w:rPr>
          <w:rFonts w:ascii="Times New Roman" w:hAnsi="Times New Roman" w:cs="Times New Roman"/>
        </w:rPr>
      </w:pPr>
      <w:r w:rsidRPr="00E87A5F">
        <w:rPr>
          <w:rFonts w:ascii="Times New Roman" w:hAnsi="Times New Roman" w:cs="Times New Roman"/>
        </w:rPr>
        <w:t xml:space="preserve">Dla każdego zainteresowanego wyżej wymienionymi rodzajami  turystyki na obszarze LGD znajdują się ciekawe i liczne atrakcje turystyczne w tym obiekty i miejsca. Walory przyrodnicze i ukształtowanie terenu sprzyja uprawianiu różnych sportów od </w:t>
      </w:r>
      <w:r w:rsidRPr="00E87A5F">
        <w:rPr>
          <w:rFonts w:ascii="Times New Roman" w:hAnsi="Times New Roman" w:cs="Times New Roman"/>
          <w:b/>
        </w:rPr>
        <w:t xml:space="preserve">paralotniarstwa </w:t>
      </w:r>
      <w:r w:rsidRPr="00E87A5F">
        <w:rPr>
          <w:rFonts w:ascii="Times New Roman" w:hAnsi="Times New Roman" w:cs="Times New Roman"/>
        </w:rPr>
        <w:t xml:space="preserve">(szybowisko w Mieroszowie i inne miejsca w okolicy) i </w:t>
      </w:r>
      <w:r w:rsidRPr="00E87A5F">
        <w:rPr>
          <w:rFonts w:ascii="Times New Roman" w:hAnsi="Times New Roman" w:cs="Times New Roman"/>
          <w:b/>
        </w:rPr>
        <w:t>wspinaczki skałkowej</w:t>
      </w:r>
      <w:r w:rsidRPr="00E87A5F">
        <w:rPr>
          <w:rFonts w:ascii="Times New Roman" w:hAnsi="Times New Roman" w:cs="Times New Roman"/>
        </w:rPr>
        <w:t xml:space="preserve"> po </w:t>
      </w:r>
      <w:r w:rsidRPr="00E87A5F">
        <w:rPr>
          <w:rFonts w:ascii="Times New Roman" w:hAnsi="Times New Roman" w:cs="Times New Roman"/>
          <w:b/>
        </w:rPr>
        <w:t xml:space="preserve">spływy kajakowe </w:t>
      </w:r>
      <w:r w:rsidRPr="00E87A5F">
        <w:rPr>
          <w:rFonts w:ascii="Times New Roman" w:hAnsi="Times New Roman" w:cs="Times New Roman"/>
        </w:rPr>
        <w:t xml:space="preserve">(spławne rzeki to m.in. Bóbr). Są tu doskonałe warunki do uprawiania </w:t>
      </w:r>
      <w:r w:rsidRPr="00E87A5F">
        <w:rPr>
          <w:rFonts w:ascii="Times New Roman" w:hAnsi="Times New Roman" w:cs="Times New Roman"/>
          <w:b/>
          <w:u w:val="single"/>
        </w:rPr>
        <w:t>turystyki niszowej</w:t>
      </w:r>
      <w:r w:rsidRPr="00E87A5F">
        <w:rPr>
          <w:rFonts w:ascii="Times New Roman" w:hAnsi="Times New Roman" w:cs="Times New Roman"/>
        </w:rPr>
        <w:t xml:space="preserve"> oraz dla ludzi zainteresowanych nietłoczonymi i niezbyt trudnymi szlakami. Na obszarze LGD znajduję się szlaki konne( 183 km) z małą infrastrukturą – </w:t>
      </w:r>
      <w:proofErr w:type="spellStart"/>
      <w:r w:rsidRPr="00E87A5F">
        <w:rPr>
          <w:rFonts w:ascii="Times New Roman" w:hAnsi="Times New Roman" w:cs="Times New Roman"/>
        </w:rPr>
        <w:t>koniowiązy</w:t>
      </w:r>
      <w:proofErr w:type="spellEnd"/>
      <w:r w:rsidRPr="00E87A5F">
        <w:rPr>
          <w:rFonts w:ascii="Times New Roman" w:hAnsi="Times New Roman" w:cs="Times New Roman"/>
        </w:rPr>
        <w:t xml:space="preserve"> itd., szlaki do uprawiania kolarstwa MTB ( ok. 168 km), piesze, rowerowe( ok. 450 km.), szlaki do narciarstwa biegowego oraz stoki narciarskie( 3 ośrodki). Brakuje im jednolitego oznakowania i wyeksponowania, które mogłoby być dodatkowym wyróżnikiem regionu i marką. W wyniku przeprowadzonych badań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uczestnicy wskazywali potrzeby, że mimo licznych trasy i atrakcji turystycznych, to wciąż wymagają one lepszego zagospodarowania. Brakuje im infrastruktury turystycznej – wiat z zadaszeniem i wymagają rewitalizacji i całorocznego utrzymania. Na terenie LGD znajduje się rozwijająca sieć 86 gospodarstw </w:t>
      </w:r>
      <w:r w:rsidRPr="00E87A5F">
        <w:rPr>
          <w:rFonts w:ascii="Times New Roman" w:hAnsi="Times New Roman" w:cs="Times New Roman"/>
          <w:shd w:val="clear" w:color="auto" w:fill="FFFFFF" w:themeFill="background1"/>
        </w:rPr>
        <w:t>agroturystycznych,</w:t>
      </w:r>
      <w:r w:rsidRPr="00E87A5F">
        <w:rPr>
          <w:rFonts w:ascii="Times New Roman" w:hAnsi="Times New Roman" w:cs="Times New Roman"/>
        </w:rPr>
        <w:t xml:space="preserve"> 11 hoteli, </w:t>
      </w:r>
      <w:r w:rsidRPr="00E87A5F">
        <w:rPr>
          <w:rFonts w:ascii="Times New Roman" w:hAnsi="Times New Roman" w:cs="Times New Roman"/>
          <w:shd w:val="clear" w:color="auto" w:fill="FFFFFF" w:themeFill="background1"/>
        </w:rPr>
        <w:t xml:space="preserve">4 </w:t>
      </w:r>
      <w:r w:rsidRPr="00E87A5F">
        <w:rPr>
          <w:rFonts w:ascii="Times New Roman" w:hAnsi="Times New Roman" w:cs="Times New Roman"/>
        </w:rPr>
        <w:t xml:space="preserve">uzdrowiska, </w:t>
      </w:r>
      <w:r w:rsidRPr="00E87A5F">
        <w:rPr>
          <w:rFonts w:ascii="Times New Roman" w:hAnsi="Times New Roman" w:cs="Times New Roman"/>
          <w:shd w:val="clear" w:color="auto" w:fill="FFFFFF" w:themeFill="background1"/>
        </w:rPr>
        <w:t>2</w:t>
      </w:r>
      <w:r w:rsidRPr="00E87A5F">
        <w:rPr>
          <w:rFonts w:ascii="Times New Roman" w:hAnsi="Times New Roman" w:cs="Times New Roman"/>
        </w:rPr>
        <w:t xml:space="preserve"> domy pielgrzyma </w:t>
      </w:r>
      <w:r w:rsidRPr="00E87A5F">
        <w:rPr>
          <w:rFonts w:ascii="Times New Roman" w:hAnsi="Times New Roman" w:cs="Times New Roman"/>
          <w:shd w:val="clear" w:color="auto" w:fill="FFFFFF" w:themeFill="background1"/>
        </w:rPr>
        <w:t xml:space="preserve">i 94 </w:t>
      </w:r>
      <w:r w:rsidRPr="00E87A5F">
        <w:rPr>
          <w:rFonts w:ascii="Times New Roman" w:hAnsi="Times New Roman" w:cs="Times New Roman"/>
        </w:rPr>
        <w:t>pokoi noclegowych w tym w schroniskach.</w:t>
      </w:r>
      <w:r w:rsidR="0035458B">
        <w:rPr>
          <w:rFonts w:ascii="Times New Roman" w:hAnsi="Times New Roman" w:cs="Times New Roman"/>
        </w:rPr>
        <w:t xml:space="preserve"> </w:t>
      </w:r>
      <w:r w:rsidRPr="00E87A5F">
        <w:rPr>
          <w:rFonts w:ascii="Times New Roman" w:hAnsi="Times New Roman" w:cs="Times New Roman"/>
        </w:rPr>
        <w:t xml:space="preserve">W regionie jest duża i różnorodna oferta noclegowo-gastronomiczna, lecz wciąż niewystarczająco rozwinięta. Wybór noclegów jest możliwy począwszy od agroturystyk, pensjonatów, domów pielgrzymkowych, schronisk po noclegi w pałacach. Jednak ze względu na coraz większe zainteresowanie regionem, liczba miejsc </w:t>
      </w:r>
      <w:r w:rsidRPr="00E87A5F">
        <w:rPr>
          <w:rFonts w:ascii="Times New Roman" w:hAnsi="Times New Roman" w:cs="Times New Roman"/>
        </w:rPr>
        <w:lastRenderedPageBreak/>
        <w:t xml:space="preserve">noclegowych powinna być znacznie większa, a niektóre miejsca już istniejące zmodernizowane. Dużym problemem noclegowym w regionie jest niewystarczająca ilość hoteli mogących pomieścić grupy autokarowe. Tak więc turysta zorganizowany „ucieka” do miejsc, gdzie znajdują się miejsca hotelowe, niedrogie a przy tym o wysokim standardzie.( np.: Karpacz, Jelenia Góra, Świdnica). W wielu agroturystykach standard odbiega od oczekiwań turystów indywidualnych. Potrzeba jest więc modernizacji pokoi, wymiany mebli i podniesienia jakości wystroju pomieszczeń. Również zagospodarowania przestrzeni wokół i rozszerzenia oferty pobytowej. Brakuje również współpracy na poziomie </w:t>
      </w:r>
      <w:proofErr w:type="spellStart"/>
      <w:r w:rsidRPr="00E87A5F">
        <w:rPr>
          <w:rFonts w:ascii="Times New Roman" w:hAnsi="Times New Roman" w:cs="Times New Roman"/>
        </w:rPr>
        <w:t>kwaterodawców</w:t>
      </w:r>
      <w:proofErr w:type="spellEnd"/>
      <w:r w:rsidRPr="00E87A5F">
        <w:rPr>
          <w:rFonts w:ascii="Times New Roman" w:hAnsi="Times New Roman" w:cs="Times New Roman"/>
        </w:rPr>
        <w:t xml:space="preserve"> i firm zajmujących się szeroko pojętą turystyką. Wskaźniki intensywności ruchu turystycznego (według Schneidera) w 2014 r. wykazywały duże zróżnicowanie przestrzenne. Obrazują one odpowiednio: liczbę turystów oraz liczbę udzielonych im noclegów w przeliczeniu na 100 osób zamieszkujących dany obszar. Dla Polski wskaźnik intensywności ruchu turystycznego wyniósł 65, dla województwa dolnośląskiego 83,1 zaś dla LGD 63,5.</w:t>
      </w: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Wskaźnik intensywności ruchu turystycznego</w:t>
      </w:r>
    </w:p>
    <w:p w:rsidR="005F5E3C" w:rsidRPr="00E87A5F" w:rsidRDefault="005F5E3C" w:rsidP="005F5E3C">
      <w:pPr>
        <w:autoSpaceDE w:val="0"/>
        <w:autoSpaceDN w:val="0"/>
        <w:adjustRightInd w:val="0"/>
        <w:spacing w:after="0" w:line="240" w:lineRule="auto"/>
        <w:ind w:firstLine="426"/>
        <w:jc w:val="both"/>
        <w:rPr>
          <w:rFonts w:ascii="Times New Roman" w:hAnsi="Times New Roman" w:cs="Times New Roman"/>
        </w:rPr>
      </w:pPr>
      <w:r w:rsidRPr="00E87A5F">
        <w:rPr>
          <w:rFonts w:ascii="Times New Roman" w:hAnsi="Times New Roman" w:cs="Times New Roman"/>
          <w:noProof/>
        </w:rPr>
        <w:drawing>
          <wp:inline distT="0" distB="0" distL="0" distR="0" wp14:anchorId="6E40A820" wp14:editId="417EC2E5">
            <wp:extent cx="4333461" cy="2011680"/>
            <wp:effectExtent l="0" t="0" r="0" b="762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5E3C" w:rsidRPr="00E87A5F" w:rsidRDefault="005F5E3C" w:rsidP="005F5E3C">
      <w:pPr>
        <w:spacing w:after="0" w:line="240" w:lineRule="auto"/>
        <w:ind w:firstLine="426"/>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spacing w:line="240" w:lineRule="auto"/>
        <w:jc w:val="both"/>
        <w:rPr>
          <w:rFonts w:ascii="Times New Roman" w:hAnsi="Times New Roman" w:cs="Times New Roman"/>
          <w:color w:val="4F6228" w:themeColor="accent3" w:themeShade="80"/>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 xml:space="preserve">Region sąsiadując z ważnymi ośrodkami turystycznymi jak Wrocław, Praga, Karpacz, Świdnica powinien posiadać nie tylko ciekawą i wyróżniająca się ofertę turystyczną w tym produkty i usługi lokalne, ale powinien być intensywnie promowany. Do tej pory były to pojedyncze, a tym samym mało efektywne działania, na obszarze LGD słabym punktem są informacje turystyczne. Pomysł na promocję to szeroko zakrojona kampania, która dotarłaby do mieszkańców innych części Polski, promocja w mediach ogólnopolskich i kampania reklamowa wychodząca poza Dolny Śląsk. To także promocja papierowa – przewodniki, które powinny być w dostępne w całej Polsce, targi turystyczne. Ale przede wszystkim obszar LGD „Kwiat Lnu”, choć bardzo interesujący, to </w:t>
      </w:r>
      <w:r w:rsidRPr="00E87A5F">
        <w:rPr>
          <w:rFonts w:ascii="Times New Roman" w:hAnsi="Times New Roman" w:cs="Times New Roman"/>
          <w:b/>
        </w:rPr>
        <w:t>nie posiada marki!,</w:t>
      </w:r>
      <w:r w:rsidRPr="00E87A5F">
        <w:rPr>
          <w:rFonts w:ascii="Times New Roman" w:hAnsi="Times New Roman" w:cs="Times New Roman"/>
        </w:rPr>
        <w:t xml:space="preserve"> która zapewniłaby większe zainteresowanie regionem.</w:t>
      </w:r>
    </w:p>
    <w:p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7" w:name="_Toc433797029"/>
      <w:bookmarkStart w:id="68" w:name="_Toc439184070"/>
      <w:r w:rsidRPr="00E87A5F">
        <w:rPr>
          <w:rFonts w:ascii="Times New Roman" w:hAnsi="Times New Roman" w:cs="Times New Roman"/>
          <w:b/>
        </w:rPr>
        <w:t>Opis produktów lokalnych, tradycyjnych i regionalnych</w:t>
      </w:r>
      <w:bookmarkEnd w:id="67"/>
      <w:bookmarkEnd w:id="68"/>
    </w:p>
    <w:p w:rsidR="005F5E3C" w:rsidRPr="00E87A5F" w:rsidRDefault="005F5E3C" w:rsidP="005F5E3C">
      <w:pPr>
        <w:spacing w:after="0" w:line="240" w:lineRule="auto"/>
        <w:jc w:val="both"/>
        <w:outlineLvl w:val="2"/>
        <w:rPr>
          <w:rFonts w:ascii="Times New Roman" w:hAnsi="Times New Roman" w:cs="Times New Roman"/>
          <w:b/>
        </w:rPr>
      </w:pPr>
      <w:bookmarkStart w:id="69" w:name="_Toc439184071"/>
      <w:r w:rsidRPr="00E87A5F">
        <w:rPr>
          <w:rFonts w:ascii="Times New Roman" w:hAnsi="Times New Roman" w:cs="Times New Roman"/>
        </w:rPr>
        <w:t>To dziedzina turystyki lokalnej, która wymaga wciąż dużego zaangażowania, bo choć przez lata wypracowane zostały produkty lokalne, to ich ilość jest wciąż niezadawalająca. Produkty lokalne powstają w oparciu o tradycję, jednak brak opracowanej marki, uniemożliwia jednolitą identyfikację z obszarem. Opracowanie marki pozwoli na wyłonienie produktów i usług o wysokim standardzie oraz promowanie ich na obszarze całego kraju i zagranicą. W Chełmsku Śląskim w kawiarni można spróbować ciasta nawiązującego do Domów Tkaczy „Bombę Apostoła”, tam też kupić można ręcznie malowane lniane torby, w Raszowie skosztować można chleba z dodatkiem lnu, a w Krzeszowie serów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również w Krzeszowie w restauracji Rustykalna można degustować Podpłomyk cysterski. W Starych Bogaczowicach produkowana jest woda mineralna „Anna” i od lat jest symbolem regionu, a od dawna organizowane konkursy kulinarne w Czarnym Borze wyodrębniły markę ulubioną przez wszystkich: Czarnoborskie pierogi. Okazjonalnie sprzedawane jest rękodzieło, którym parają się mieszkańcy regionu: wielkanocne palmy, wyroby z gliny, malarstwo, dziewiarstwo, koronki klockowe i wiele innych.</w:t>
      </w:r>
      <w:bookmarkEnd w:id="69"/>
      <w:r w:rsidRPr="00E87A5F">
        <w:rPr>
          <w:rFonts w:ascii="Times New Roman" w:hAnsi="Times New Roman" w:cs="Times New Roman"/>
        </w:rPr>
        <w:t xml:space="preserv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Żadne z wymienionych produktów nie jest produktem tradycyjnym – zarejestrowanym i brak im również marki regionu, bowiem kojarzą się z  miejscem wyłącznie na poziomie lokalnym, a powinny być marką dla turysty zewnętrznego. Nie można również kupić tych wyrobów nigdzie poza okazjonalnymi imprezami. Brak jest galerii produktu lokalnego i jakiejkolwiek promocji. </w:t>
      </w:r>
      <w:bookmarkStart w:id="70" w:name="_Toc433797030"/>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Charakterystyka rolnictwa i rynku rolnego</w:t>
      </w:r>
      <w:bookmarkEnd w:id="70"/>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rPr>
        <w:t xml:space="preserve">Obszar objęty działaniem LGD jest terenem typowo rolniczym, choć warunki przyrodniczo-glebowe są trudne dla rolnictwa. </w:t>
      </w:r>
      <w:r w:rsidRPr="00E87A5F">
        <w:rPr>
          <w:rFonts w:ascii="Times New Roman" w:hAnsi="Times New Roman" w:cs="Times New Roman"/>
          <w:color w:val="000000"/>
        </w:rPr>
        <w:t xml:space="preserve">Rolnictwo na terenie LGD jest raczej rozdrobnione, natomiast gospodarstwa rolne, w których głównym źródłem dochodu jest działalność rolnicza (powyżej 15 ha) są dobrze zmodernizowane. Według ostatniego powszechnego spisu rolnego 2010 użytki rolne stanowiły 38,57% obszaru LGD tj. 25 070,64 ha.  Łącznie funkcjonuje 3 317 gospodarstw rolnych, z czego 2 939 to gospodarstwa prowadzące działalność rolniczą (88,60%). Tylko 310 </w:t>
      </w:r>
      <w:r w:rsidRPr="00E87A5F">
        <w:rPr>
          <w:rFonts w:ascii="Times New Roman" w:hAnsi="Times New Roman" w:cs="Times New Roman"/>
          <w:color w:val="000000"/>
        </w:rPr>
        <w:lastRenderedPageBreak/>
        <w:t xml:space="preserve">gospodarstw (tj. 9,35% ) posiada obszar większy niż 15 ha. Średnia wielkość gospodarstwa rolnego na terenie LGD wynosi 8,15 ha i jest niższa niż w województwie (10,77 ha). Dominują grunty o klasie bonitacyjnej IV-V, na których uprawia się głównie zboża i rośliny okopowe. Na dużym areale użytków rolnych prowadzona jest głównie hodowla bydła, drobiu i trzody chlewnej.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Wsparcie merytoryczne rolników w rejonie prowadzi Ośrodek Doradztwa Rolniczego z powiatowymi doradcami w Kamiennej Górze i Wałbrzychu. Trudne warunki produkcji rolnej z powodu podgórskiego i górskiego położenia powodują, że gospodarstwa rolne przekształcają się w certyfikowane gospodarstwa ekologiczne, których na obszarze jest 91. W najbliższych latach należy dążyć do dalszego rozwoju gospodarstw ekologicznych i tworzenia sieci dystrybucji i zbytu dla wytwarzanych produktów ekologicznych.  Obszar działania LGD charakteryzują bardzo dobre warunki do wypoczynku.  Aby zapewnić sobie zwiększenie dochodów, gospodarstwa rolne decydują się na podjęcie i rozwijanie dodatkowej działalności w tym np. agroturystyka. </w:t>
      </w:r>
    </w:p>
    <w:p w:rsidR="005F5E3C" w:rsidRDefault="005F5E3C" w:rsidP="003A2AD2">
      <w:pPr>
        <w:pStyle w:val="Nagwek1"/>
        <w:spacing w:line="240" w:lineRule="auto"/>
        <w:jc w:val="both"/>
        <w:rPr>
          <w:rFonts w:ascii="Times New Roman" w:hAnsi="Times New Roman" w:cs="Times New Roman"/>
          <w:sz w:val="22"/>
          <w:szCs w:val="22"/>
          <w:u w:val="single"/>
        </w:rPr>
      </w:pPr>
      <w:bookmarkStart w:id="71" w:name="_Toc439184072"/>
      <w:r w:rsidRPr="00E87A5F">
        <w:rPr>
          <w:rFonts w:ascii="Times New Roman" w:hAnsi="Times New Roman" w:cs="Times New Roman"/>
          <w:sz w:val="22"/>
          <w:szCs w:val="22"/>
        </w:rPr>
        <w:t>Rozdział IV Analiza SWOT</w:t>
      </w:r>
      <w:bookmarkEnd w:id="71"/>
      <w:r w:rsidRPr="00E87A5F">
        <w:rPr>
          <w:rFonts w:ascii="Times New Roman" w:hAnsi="Times New Roman" w:cs="Times New Roman"/>
          <w:sz w:val="22"/>
          <w:szCs w:val="22"/>
          <w:u w:val="single"/>
        </w:rPr>
        <w:t xml:space="preserve"> </w:t>
      </w:r>
    </w:p>
    <w:p w:rsidR="003A2AD2" w:rsidRPr="003A2AD2" w:rsidRDefault="003A2AD2" w:rsidP="003A2AD2"/>
    <w:p w:rsidR="005F5E3C" w:rsidRPr="00E87A5F" w:rsidRDefault="005F5E3C" w:rsidP="005F5E3C">
      <w:pPr>
        <w:pStyle w:val="Bezodstpw"/>
        <w:jc w:val="both"/>
        <w:rPr>
          <w:rFonts w:ascii="Times New Roman" w:hAnsi="Times New Roman" w:cs="Times New Roman"/>
          <w:b/>
        </w:rPr>
        <w:sectPr w:rsidR="005F5E3C" w:rsidRPr="00E87A5F" w:rsidSect="0075654E">
          <w:headerReference w:type="default" r:id="rId26"/>
          <w:footerReference w:type="default" r:id="rId27"/>
          <w:pgSz w:w="11906" w:h="16838"/>
          <w:pgMar w:top="709" w:right="567" w:bottom="567" w:left="851" w:header="709" w:footer="0" w:gutter="0"/>
          <w:pgNumType w:start="1"/>
          <w:cols w:space="708"/>
          <w:titlePg/>
          <w:docGrid w:linePitch="360"/>
        </w:sectPr>
      </w:pPr>
      <w:r w:rsidRPr="00E87A5F">
        <w:rPr>
          <w:rFonts w:ascii="Times New Roman" w:hAnsi="Times New Roman" w:cs="Times New Roman"/>
          <w:b/>
        </w:rPr>
        <w:t xml:space="preserve">Analiza SWOT </w:t>
      </w:r>
      <w:r w:rsidRPr="00E87A5F">
        <w:rPr>
          <w:rFonts w:ascii="Times New Roman" w:hAnsi="Times New Roman" w:cs="Times New Roman"/>
        </w:rPr>
        <w:t>została przygotowana w oparciu o szerokie zaangażowanie</w:t>
      </w:r>
      <w:r w:rsidRPr="00E87A5F">
        <w:rPr>
          <w:rFonts w:ascii="Times New Roman" w:hAnsi="Times New Roman" w:cs="Times New Roman"/>
          <w:b/>
        </w:rPr>
        <w:t xml:space="preserve"> </w:t>
      </w:r>
      <w:r w:rsidRPr="00E87A5F">
        <w:rPr>
          <w:rFonts w:ascii="Times New Roman" w:hAnsi="Times New Roman" w:cs="Times New Roman"/>
        </w:rPr>
        <w:t xml:space="preserve">mieszkańców obszaru i jest wynikiem zastosowania szeregu partycypacyjnych metod m.in. ankietyzacji dotyczącej jakości życia oraz problemów na terenie gmin objętych LGD, otwartych warsztatów prowadzonych w każdej z gmin. Na tym etapie mieszkańcy wnioskowali o zagospodarowanie miejsc przestrzeni publicznej, renowację zabytków i rewitalizację miejscowości. Przeprowadzone  wywiady pogłębione  z przedstawicielami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mieszkańcami obszaru, przedstawicielami przedsiębiorców, organizacji pozarządowych oraz samorządów poszerzyły listę oczekiwań, która jednak została zweryfikowana  o możliwy do sfinansowania zakres w ramach PROW 2014-2020. Na etapie późniejszym zapisy w analizie SWOT zostały również zweryfikowane w ramach zbierania danych do diagnozy oraz w ramach pracy  Grupy roboczej do spraw LSR. Mocne strony podkreślane przez uczestników prac to przede wszystkim atrakcyjne położenie geograficzne, różnorodne dziedzictwo historyczne i kulturowe oraz walory przyrodnicze i krajobrazowe  obszaru LGD, które wpływa na rozwój turystyki,  jednak nie jest w pełni  wykorzystywane. Słaba infrastruktura turystyczna, niedostateczne oznakowanie,  niedoinwestowanie bazy noclegowej i gastronomicznej, zły stan wielu zabytków powoduje że region nie wykorzystuje swoich szans a pogłębiające się zjawiska depopulacji, starzenia się mieszkańców i migracji w poszukiwaniu lepszych warunków życia pogłębiają problemy demograficzne, społeczne i ekonomiczne.  Z pewnością szanse na rozwój przedsiębiorczości według uczestników spotkań daje rosnący ruch turystyczny, współpraca transgraniczna i zainteresowanie młodego pokolenia aktywnością w obszarze zakładania nowych podmiotów gospodarczych oraz podejmowania innowacyjności. Według  przedstawicieli organizacji istotne  będzie również wykorzystanie potencjału stowarzyszeń,  które są gotowe do podnoszenia swoich kompetencji i realizacji działań kierowanych do dzieci , młodzieży i seniorów oraz edukacja ekologiczna zwracająca uwagę na kwestie klimatyczne i ochrony środowiska na tym cennym przyrodniczo obszarze. Ważne także niwelowanie słabości związane z niedoinwestowaniem zagospodarowania przestrzeni publicznej na cele rekreacji i integracji społeczności lokalnych. Niwelowanie słabych stron będzie możliwe przy wykorzystaniu mocnych stron i szans pojawiających się w otoczeniu, w szczególności szans jakie dadzą środki Program</w:t>
      </w:r>
      <w:r w:rsidR="004908D8" w:rsidRPr="00E87A5F">
        <w:rPr>
          <w:rFonts w:ascii="Times New Roman" w:hAnsi="Times New Roman" w:cs="Times New Roman"/>
        </w:rPr>
        <w:t>u</w:t>
      </w:r>
      <w:r w:rsidRPr="00E87A5F">
        <w:rPr>
          <w:rFonts w:ascii="Times New Roman" w:hAnsi="Times New Roman" w:cs="Times New Roman"/>
        </w:rPr>
        <w:t xml:space="preserve"> Rozwoju Obszarów Wiejskich 2014-2020.</w:t>
      </w: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14</w:t>
      </w:r>
      <w:r w:rsidR="004F4A74" w:rsidRPr="00E87A5F">
        <w:rPr>
          <w:rFonts w:ascii="Times New Roman" w:hAnsi="Times New Roman"/>
          <w:sz w:val="22"/>
          <w:szCs w:val="22"/>
        </w:rPr>
        <w:fldChar w:fldCharType="end"/>
      </w:r>
      <w:r w:rsidRPr="00E87A5F">
        <w:rPr>
          <w:rFonts w:ascii="Times New Roman" w:hAnsi="Times New Roman"/>
          <w:sz w:val="22"/>
          <w:szCs w:val="22"/>
        </w:rPr>
        <w:t>. Analiza SWOT</w:t>
      </w:r>
    </w:p>
    <w:tbl>
      <w:tblPr>
        <w:tblW w:w="15451" w:type="dxa"/>
        <w:tblInd w:w="-34" w:type="dxa"/>
        <w:tblBorders>
          <w:top w:val="double" w:sz="4" w:space="0" w:color="4F81BD"/>
          <w:left w:val="double" w:sz="4" w:space="0" w:color="4F81BD"/>
          <w:bottom w:val="double" w:sz="4" w:space="0" w:color="4F81BD"/>
          <w:right w:val="double" w:sz="4" w:space="0" w:color="4F81BD"/>
          <w:insideH w:val="single" w:sz="6" w:space="0" w:color="4F81BD"/>
          <w:insideV w:val="single" w:sz="6" w:space="0" w:color="4F81BD"/>
        </w:tblBorders>
        <w:tblLayout w:type="fixed"/>
        <w:tblLook w:val="04A0" w:firstRow="1" w:lastRow="0" w:firstColumn="1" w:lastColumn="0" w:noHBand="0" w:noVBand="1"/>
      </w:tblPr>
      <w:tblGrid>
        <w:gridCol w:w="7088"/>
        <w:gridCol w:w="1134"/>
        <w:gridCol w:w="6095"/>
        <w:gridCol w:w="1134"/>
      </w:tblGrid>
      <w:tr w:rsidR="005F5E3C" w:rsidRPr="00E87A5F" w:rsidTr="003A2AD2">
        <w:trPr>
          <w:trHeight w:val="459"/>
        </w:trPr>
        <w:tc>
          <w:tcPr>
            <w:tcW w:w="7088" w:type="dxa"/>
            <w:shd w:val="clear" w:color="auto" w:fill="B8CCE4"/>
            <w:vAlign w:val="center"/>
          </w:tcPr>
          <w:p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MOCNE STRONY</w:t>
            </w:r>
          </w:p>
        </w:tc>
        <w:tc>
          <w:tcPr>
            <w:tcW w:w="1134" w:type="dxa"/>
            <w:shd w:val="clear" w:color="auto" w:fill="B8CCE4"/>
          </w:tcPr>
          <w:p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c>
          <w:tcPr>
            <w:tcW w:w="6095" w:type="dxa"/>
            <w:shd w:val="clear" w:color="auto" w:fill="B8CCE4"/>
            <w:vAlign w:val="center"/>
          </w:tcPr>
          <w:p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SŁABE STRONY</w:t>
            </w:r>
          </w:p>
        </w:tc>
        <w:tc>
          <w:tcPr>
            <w:tcW w:w="1134" w:type="dxa"/>
            <w:shd w:val="clear" w:color="auto" w:fill="B8CCE4"/>
          </w:tcPr>
          <w:p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r>
      <w:tr w:rsidR="005F5E3C" w:rsidRPr="00E87A5F" w:rsidTr="003A2AD2">
        <w:trPr>
          <w:trHeight w:val="1267"/>
        </w:trPr>
        <w:tc>
          <w:tcPr>
            <w:tcW w:w="7088" w:type="dxa"/>
            <w:shd w:val="clear" w:color="auto" w:fill="auto"/>
          </w:tcPr>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Atrakcyjne położenie geograficzne wśród pasm górskich Sudetów Środkowych</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Transgraniczne, bezpośrednie sąsiedztwo z Czechami</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atrakcje turystyczne i zabytki,  także o randze europejskiej m.in.: Pocysterski zespół klasztorny w Krzeszowie, Zespół Domów Tkaczy Śląskich w Chełmsku</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atrakcyjne i zróżnicowane szlaki turystyczne:  konne, piesze, rowerowe, narciarstwa biegowego itp.</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Walory przyrodnicze i ukształtowanie przestrzeni sprzyjające uprawianiu sportów (paralotniarstwo, wspinaczka skałkowa, MTB, spływy)</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Różnorodne wpływy czeskie, niemieckie, polskie związane z wielowiekową historią tych ziem</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Wielokulturowe tradycje które przybyły z mieszkańcami po 1945 r.</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Występowanie zasobów wodnych i zasobów naturalnych  o dużej różnorodności</w:t>
            </w:r>
          </w:p>
          <w:p w:rsidR="005F5E3C" w:rsidRPr="00E87A5F" w:rsidRDefault="005F5E3C" w:rsidP="00067FD0">
            <w:pPr>
              <w:numPr>
                <w:ilvl w:val="0"/>
                <w:numId w:val="12"/>
              </w:numPr>
              <w:spacing w:after="0" w:line="240" w:lineRule="auto"/>
              <w:jc w:val="both"/>
              <w:rPr>
                <w:rFonts w:ascii="Times New Roman" w:eastAsia="Calibri" w:hAnsi="Times New Roman" w:cs="Times New Roman"/>
              </w:rPr>
            </w:pPr>
            <w:r w:rsidRPr="00E87A5F">
              <w:rPr>
                <w:rFonts w:ascii="Times New Roman" w:eastAsia="Calibri" w:hAnsi="Times New Roman" w:cs="Times New Roman"/>
              </w:rPr>
              <w:t>Obszary chronione: Natura 2000, Parki Krajobrazowe, Otuliny, Rezerwaty przyrody, Obszary Chronionego Krajobrazu</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Miejscowości uzdrowiskowe i sanatoryjne </w:t>
            </w:r>
          </w:p>
          <w:p w:rsidR="005F5E3C" w:rsidRPr="00E87A5F" w:rsidRDefault="005F5E3C" w:rsidP="00067FD0">
            <w:pPr>
              <w:pStyle w:val="Akapitzlist"/>
              <w:spacing w:after="0" w:line="240" w:lineRule="auto"/>
              <w:jc w:val="both"/>
              <w:rPr>
                <w:rFonts w:ascii="Times New Roman" w:hAnsi="Times New Roman" w:cs="Times New Roman"/>
              </w:rPr>
            </w:pPr>
            <w:r w:rsidRPr="00E87A5F">
              <w:rPr>
                <w:rFonts w:ascii="Times New Roman" w:hAnsi="Times New Roman" w:cs="Times New Roman"/>
              </w:rPr>
              <w:t>(Szczawno Zdrój i Sokołowsko)</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Dobry stan środowiska </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Dobre warunki przyrodnicze, krajobrazowe i kulturowe dla rozwoju działalności gospodarczej w zakresie turystyki, sportu i rekreacji</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Dobrze rozwinięta działalność rolnicza dużych gospodarstw</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Istniejące na obszarze dwie strefy ekonomiczne (KSSEMP i WSSEIP)</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sieć gospodarstw agroturystycznych  </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Zróżnicowany profil gospodarczy dużych przedsiębiorstw (przemysł: motoryzacyjny, tekstylny, meblowy, wydobywczy)</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Relatywna bliskość dużych ośrodków tj. Wrocław, Praga</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Wzrastająca aktywność mieszkańców i zwiększająca się ilość organizacji pozarządowych</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infrastruktura społeczna: świetlice wiejskie, place </w:t>
            </w:r>
            <w:r w:rsidRPr="00E87A5F">
              <w:rPr>
                <w:rFonts w:ascii="Times New Roman" w:hAnsi="Times New Roman" w:cs="Times New Roman"/>
              </w:rPr>
              <w:lastRenderedPageBreak/>
              <w:t>zabaw, siłownie zewnętrzne, obiekty sportowe itp.</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wykształcenia mieszkańców</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Wsparcie programu „Działaj Lokalnie” - inicjatyw organizacji pozarządowych i grup nieformalnych</w:t>
            </w:r>
          </w:p>
          <w:p w:rsidR="005F5E3C" w:rsidRPr="00E87A5F" w:rsidRDefault="005F5E3C" w:rsidP="00067FD0">
            <w:pPr>
              <w:pStyle w:val="Akapitzlist"/>
              <w:spacing w:line="240" w:lineRule="auto"/>
              <w:jc w:val="both"/>
              <w:rPr>
                <w:rFonts w:ascii="Times New Roman" w:hAnsi="Times New Roman" w:cs="Times New Roman"/>
              </w:rPr>
            </w:pPr>
          </w:p>
          <w:p w:rsidR="005F5E3C" w:rsidRPr="00E87A5F" w:rsidRDefault="005F5E3C" w:rsidP="00067FD0">
            <w:pPr>
              <w:spacing w:line="240" w:lineRule="auto"/>
              <w:ind w:left="360"/>
              <w:jc w:val="both"/>
              <w:rPr>
                <w:rFonts w:ascii="Times New Roman" w:hAnsi="Times New Roman" w:cs="Times New Roman"/>
              </w:rPr>
            </w:pPr>
          </w:p>
          <w:p w:rsidR="005F5E3C" w:rsidRPr="00E87A5F" w:rsidRDefault="005F5E3C" w:rsidP="00067FD0">
            <w:pPr>
              <w:pStyle w:val="Akapitzlist"/>
              <w:spacing w:line="240" w:lineRule="auto"/>
              <w:jc w:val="both"/>
              <w:rPr>
                <w:rFonts w:ascii="Times New Roman" w:hAnsi="Times New Roman" w:cs="Times New Roman"/>
              </w:rPr>
            </w:pPr>
          </w:p>
        </w:tc>
        <w:tc>
          <w:tcPr>
            <w:tcW w:w="1134" w:type="dxa"/>
          </w:tcPr>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lastRenderedPageBreak/>
              <w:t>7a.2</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7a.1</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 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7a.5, 7a.6</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7a.8</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7a.6, 7b</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7a.7</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rsidR="0035458B" w:rsidRDefault="0035458B"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7e</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rsidR="0035458B" w:rsidRDefault="0035458B"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rsidR="0035458B" w:rsidRDefault="0035458B"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pStyle w:val="Akapitzlist"/>
              <w:spacing w:after="0" w:line="240" w:lineRule="auto"/>
              <w:ind w:left="0"/>
              <w:jc w:val="both"/>
              <w:rPr>
                <w:rFonts w:ascii="Times New Roman" w:hAnsi="Times New Roman" w:cs="Times New Roman"/>
              </w:rPr>
            </w:pPr>
          </w:p>
        </w:tc>
        <w:tc>
          <w:tcPr>
            <w:tcW w:w="6095" w:type="dxa"/>
            <w:shd w:val="clear" w:color="auto" w:fill="auto"/>
          </w:tcPr>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lastRenderedPageBreak/>
              <w:t xml:space="preserve">Słaba infrastruktura i zagospodarowanie szlaków, miejsc atrakcyjnych turystycznie i rekreacyjnie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punkty informacji turystycznej</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promocja turystyczna regionu, produktów i usług lokalnych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Brak opracowanej marki regionu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Zły stan wielu zabytków, starej zabudowy, zaniedbane parki wiejskie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współpraca podmiotów turystycznych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Niewystarczająco rozwinięta baza noclegowo-gastronomiczna</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Migracja osób w poszukiwaniu lepszych warunków życia</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Kształcenie zawodowe słabo powiązane z rynkiem pracy</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Niedostateczna ilość miejsc pracy na lokalnym rynku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Niska zamożność lokalnej społeczności i niskie płace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Bariery mentalne przed podejmowaniem działalności przez osoby bezrobotne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dochód podatkowy gmin w stosunku do średniej wojewódzkiej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Niewystarczająca  aktywność społeczna mieszkańców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w:t>
            </w:r>
            <w:r w:rsidRPr="00E87A5F">
              <w:rPr>
                <w:rFonts w:ascii="Times New Roman" w:hAnsi="Times New Roman" w:cs="Times New Roman"/>
              </w:rPr>
              <w:lastRenderedPageBreak/>
              <w:t xml:space="preserve">pozyskujących środki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Mała liczba osób młodych angażujących się w prace </w:t>
            </w:r>
            <w:proofErr w:type="spellStart"/>
            <w:r w:rsidRPr="00E87A5F">
              <w:rPr>
                <w:rFonts w:ascii="Times New Roman" w:hAnsi="Times New Roman" w:cs="Times New Roman"/>
              </w:rPr>
              <w:t>ngo</w:t>
            </w:r>
            <w:proofErr w:type="spellEnd"/>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Duży odsetek osób korzystających z pomocy społecznej</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Odchodzenie od wielokulturowych tradycji</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Niski poziom zaangażowania mieszkańców w decyzje w gminach i sołectwach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Dekapitalizacja majątku firm</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Trudne warunki przyrodniczo - glebowe dla rolnictwa</w:t>
            </w:r>
          </w:p>
          <w:p w:rsidR="005F5E3C" w:rsidRPr="00E87A5F" w:rsidRDefault="005F5E3C" w:rsidP="00067FD0">
            <w:pPr>
              <w:pStyle w:val="Akapitzlist"/>
              <w:spacing w:after="0" w:line="240" w:lineRule="auto"/>
              <w:jc w:val="both"/>
              <w:rPr>
                <w:rFonts w:ascii="Times New Roman" w:hAnsi="Times New Roman" w:cs="Times New Roman"/>
              </w:rPr>
            </w:pP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usługi dla seniorów</w:t>
            </w:r>
          </w:p>
        </w:tc>
        <w:tc>
          <w:tcPr>
            <w:tcW w:w="1134" w:type="dxa"/>
          </w:tcPr>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lastRenderedPageBreak/>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7d</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1, 2</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2, 4, 6</w:t>
            </w:r>
          </w:p>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w:t>
            </w:r>
          </w:p>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rsidR="005F5E3C" w:rsidRPr="00E87A5F" w:rsidRDefault="005F5E3C"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5 </w:t>
            </w:r>
          </w:p>
          <w:p w:rsidR="005F5E3C" w:rsidRPr="00E87A5F" w:rsidRDefault="005F5E3C" w:rsidP="00067FD0">
            <w:pPr>
              <w:spacing w:after="0" w:line="240" w:lineRule="auto"/>
              <w:jc w:val="both"/>
              <w:rPr>
                <w:rFonts w:ascii="Times New Roman" w:hAnsi="Times New Roman" w:cs="Times New Roman"/>
              </w:rPr>
            </w:pPr>
          </w:p>
          <w:p w:rsidR="005F5E3C"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w:t>
            </w:r>
          </w:p>
          <w:p w:rsidR="006A3D03" w:rsidRPr="00E87A5F" w:rsidRDefault="006A3D03"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 6</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7a.9</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rsidR="005F5E3C" w:rsidRDefault="005F5E3C" w:rsidP="00067FD0">
            <w:pPr>
              <w:spacing w:after="0" w:line="240" w:lineRule="auto"/>
              <w:jc w:val="both"/>
              <w:rPr>
                <w:rFonts w:ascii="Times New Roman" w:hAnsi="Times New Roman" w:cs="Times New Roman"/>
              </w:rPr>
            </w:pPr>
          </w:p>
          <w:p w:rsidR="006A3D03" w:rsidRPr="00E87A5F" w:rsidRDefault="006A3D03"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7a.3, 7e 7a.4,</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w:t>
            </w:r>
          </w:p>
        </w:tc>
      </w:tr>
      <w:tr w:rsidR="005F5E3C" w:rsidRPr="00E87A5F" w:rsidTr="003A2AD2">
        <w:trPr>
          <w:trHeight w:val="548"/>
        </w:trPr>
        <w:tc>
          <w:tcPr>
            <w:tcW w:w="8222" w:type="dxa"/>
            <w:gridSpan w:val="2"/>
            <w:shd w:val="clear" w:color="auto" w:fill="B8CCE4"/>
            <w:vAlign w:val="center"/>
          </w:tcPr>
          <w:p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lastRenderedPageBreak/>
              <w:t>SZANSE</w:t>
            </w:r>
          </w:p>
        </w:tc>
        <w:tc>
          <w:tcPr>
            <w:tcW w:w="7229" w:type="dxa"/>
            <w:gridSpan w:val="2"/>
            <w:shd w:val="clear" w:color="auto" w:fill="B8CCE4"/>
            <w:vAlign w:val="center"/>
          </w:tcPr>
          <w:p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ZAGROŻENIA</w:t>
            </w:r>
          </w:p>
        </w:tc>
      </w:tr>
      <w:tr w:rsidR="005F5E3C" w:rsidRPr="00E87A5F" w:rsidTr="003A2AD2">
        <w:trPr>
          <w:trHeight w:val="548"/>
        </w:trPr>
        <w:tc>
          <w:tcPr>
            <w:tcW w:w="8222" w:type="dxa"/>
            <w:gridSpan w:val="2"/>
            <w:shd w:val="clear" w:color="auto" w:fill="auto"/>
            <w:vAlign w:val="center"/>
          </w:tcPr>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Możliwość pozyskania środków na projekty z funduszy krajowych, europejskich i innych realizowane przez j.s.t, NGO, podmioty publiczne</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Rosnący ruch turystyczny w regionie i wzrost zapotrzebowania na różne formy turystyki</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Rejestracja produktów tradycyjnych i promocja marki „Kwiatu Lnu”</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nowoczesnych technik przekazu w promocji regionu</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innowacyjności w obszarze przedsiębiorczości i społecznym</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Modernizacja infrastruktury drogowej, kolejowej i droga S3</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Wykorzystanie energii odnawialnych, dostęp do energii </w:t>
            </w:r>
            <w:proofErr w:type="spellStart"/>
            <w:r w:rsidRPr="00E87A5F">
              <w:rPr>
                <w:rFonts w:ascii="Times New Roman" w:hAnsi="Times New Roman" w:cs="Times New Roman"/>
              </w:rPr>
              <w:t>prosumenckiej</w:t>
            </w:r>
            <w:proofErr w:type="spellEnd"/>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środków na wsparcie przedsiębiorczości i zatrudnienie w perspektywie 2014-2020</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Obniżenie kosztów zatrudnienia</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Pozyskanie nowych inwestorów i wykorzystanie wyznaczonych terenów pod inwestycje </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potencjału wykształconego młodego pokolenia do rozwoju przedsiębiorczości</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Współpraca transgraniczna w rozwoju usług</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Rozwój rolnictwa ekologicznego i przetwórstwa produktów z gospodarstw </w:t>
            </w:r>
            <w:r w:rsidRPr="00E87A5F">
              <w:rPr>
                <w:rFonts w:ascii="Times New Roman" w:hAnsi="Times New Roman" w:cs="Times New Roman"/>
              </w:rPr>
              <w:lastRenderedPageBreak/>
              <w:t>rolnych</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Zmiana stylu życia na bardziej ekologiczny </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Realizacja strategii rozwoju gmin w powiązaniu z LSR LGD Kwiat Lnu</w:t>
            </w:r>
          </w:p>
        </w:tc>
        <w:tc>
          <w:tcPr>
            <w:tcW w:w="7229" w:type="dxa"/>
            <w:gridSpan w:val="2"/>
            <w:shd w:val="clear" w:color="auto" w:fill="auto"/>
          </w:tcPr>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lastRenderedPageBreak/>
              <w:t>Pogłębiające się zjawisko depopulacji związane ze spadkiem liczby mieszkańców i starzeniem się społeczeństwa</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Bliskość lepiej rozwiniętej infrastruktury turystycznej, rekreacyjnej i do uprawiania sportów zimowych w Czechach </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przepisy konserwatorskie i ograniczone fundusze na remonty zabytków</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Problemy w  zachowaniu ciągłości działań samorządowych w zakresie planów rozwojowych</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Zanieczyszczenie środowiska niską emisją,  zagrożenie powodziowe i negatywny wpływ zmian klimatycznych</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Rozrastanie się szarej strefy w zakresie zatrudnienia</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procedury w aplikowaniu o środki pomocowe dla osób fizycznych i NGO pozyskiwaniu środków zewnętrznych</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Niekorzystne przepisy dla rozwoju przedsiębiorstw</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Globalizacja handlu - zanikający rynek lokalny produktów i usług</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Zwiększające się zubożenie społeczeństwa</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wśród osób zatrudnionych na umowy cywilnoprawne</w:t>
            </w:r>
          </w:p>
          <w:p w:rsidR="005F5E3C" w:rsidRPr="00E87A5F" w:rsidRDefault="005F5E3C" w:rsidP="00067FD0">
            <w:pPr>
              <w:spacing w:line="240" w:lineRule="auto"/>
              <w:jc w:val="both"/>
              <w:rPr>
                <w:rFonts w:ascii="Times New Roman" w:hAnsi="Times New Roman" w:cs="Times New Roman"/>
                <w:b/>
              </w:rPr>
            </w:pPr>
          </w:p>
        </w:tc>
      </w:tr>
    </w:tbl>
    <w:p w:rsidR="005F5E3C" w:rsidRPr="00E87A5F" w:rsidRDefault="005F5E3C" w:rsidP="005F5E3C">
      <w:pPr>
        <w:spacing w:line="240" w:lineRule="auto"/>
        <w:rPr>
          <w:rFonts w:ascii="Times New Roman" w:hAnsi="Times New Roman" w:cs="Times New Roman"/>
        </w:rPr>
        <w:sectPr w:rsidR="005F5E3C" w:rsidRPr="00E87A5F" w:rsidSect="0075654E">
          <w:pgSz w:w="16838" w:h="11906" w:orient="landscape"/>
          <w:pgMar w:top="426" w:right="567" w:bottom="567" w:left="851" w:header="709" w:footer="709" w:gutter="0"/>
          <w:cols w:space="708"/>
          <w:docGrid w:linePitch="360"/>
        </w:sectPr>
      </w:pPr>
    </w:p>
    <w:p w:rsidR="005F5E3C" w:rsidRPr="00E87A5F" w:rsidRDefault="005F5E3C" w:rsidP="005F5E3C">
      <w:pPr>
        <w:pStyle w:val="Nagwek1"/>
        <w:rPr>
          <w:rFonts w:ascii="Times New Roman" w:hAnsi="Times New Roman" w:cs="Times New Roman"/>
          <w:sz w:val="22"/>
          <w:szCs w:val="22"/>
        </w:rPr>
      </w:pPr>
      <w:bookmarkStart w:id="72" w:name="_Toc439184073"/>
      <w:r w:rsidRPr="00E87A5F">
        <w:rPr>
          <w:rFonts w:ascii="Times New Roman" w:hAnsi="Times New Roman" w:cs="Times New Roman"/>
          <w:sz w:val="22"/>
          <w:szCs w:val="22"/>
        </w:rPr>
        <w:lastRenderedPageBreak/>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 Cele i wskaźniki</w:t>
      </w:r>
      <w:bookmarkEnd w:id="72"/>
    </w:p>
    <w:p w:rsidR="005F5E3C" w:rsidRPr="00E87A5F" w:rsidRDefault="005F5E3C" w:rsidP="005F5E3C">
      <w:pPr>
        <w:rPr>
          <w:rFonts w:ascii="Times New Roman" w:hAnsi="Times New Roman" w:cs="Times New Roman"/>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Cele i przedsięwzięcia Lokalnej Strategii Rozwoju są odpowiedzią na diagnozę obszaru opierającą się na konsultacjach społecznych, doświadczeniach LGD i danych statystycznych oraz wynikłej z tej oceny analizy SWOT. Lokalna Strategia Rozwoju będzie realizować jeden cel ogólnego, do którego przypisanych zostało trzy cele szczegółowe oraz osiem przedsięwzięć.</w:t>
      </w:r>
    </w:p>
    <w:p w:rsidR="005F5E3C" w:rsidRPr="00E87A5F" w:rsidRDefault="005F5E3C" w:rsidP="005F5E3C">
      <w:pPr>
        <w:shd w:val="clear" w:color="auto" w:fill="FFFFFF" w:themeFill="background1"/>
        <w:spacing w:line="240" w:lineRule="auto"/>
        <w:jc w:val="both"/>
        <w:rPr>
          <w:rFonts w:ascii="Times New Roman" w:hAnsi="Times New Roman" w:cs="Times New Roman"/>
          <w:b/>
        </w:rPr>
      </w:pPr>
      <w:r w:rsidRPr="00E87A5F">
        <w:rPr>
          <w:rFonts w:ascii="Times New Roman" w:hAnsi="Times New Roman" w:cs="Times New Roman"/>
          <w:b/>
        </w:rPr>
        <w:t xml:space="preserve">CEL główny: Zrównoważony rozwój </w:t>
      </w:r>
      <w:proofErr w:type="spellStart"/>
      <w:r w:rsidRPr="00E87A5F">
        <w:rPr>
          <w:rFonts w:ascii="Times New Roman" w:hAnsi="Times New Roman" w:cs="Times New Roman"/>
          <w:b/>
        </w:rPr>
        <w:t>społeczno</w:t>
      </w:r>
      <w:proofErr w:type="spellEnd"/>
      <w:r w:rsidRPr="00E87A5F">
        <w:rPr>
          <w:rFonts w:ascii="Times New Roman" w:hAnsi="Times New Roman" w:cs="Times New Roman"/>
          <w:b/>
        </w:rPr>
        <w:t xml:space="preserve"> – gospodarczy oparty na wykorzystaniu zasobów obszaru z poszanowaniem środowiska i przeciwdziałaniu zmianom klimatycznym Lokalnej Grupy Działania Kwiat Lnu do 2022 (23)r.</w:t>
      </w:r>
    </w:p>
    <w:p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b/>
        </w:rPr>
        <w:t xml:space="preserve">1.1.  Cel szczegółowy - Region z zadbaną przestrzenią publiczną i środowiskiem, atrakcyjny turystycznie  </w:t>
      </w: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Przedsięwzięcia: </w:t>
      </w: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1.1.2. Rozwój infrastruktury turystycznej</w:t>
      </w: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p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1.1.4. Zachowanie dziedzictwa kulturowego i przyrodniczego</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1.2.  Cel szczegółowy - Aktywna, zintegrowana i świadoma ekologicznie społeczność lokalna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1.2.2.Funkcjonowanie LGD oraz włączenie mieszkańców we wdrażanie LSR</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1.3 Cel szczegółowy - Aktywne, innowacyjne podmioty gospodarcze tworzące miejsca pracy, dbające o ochronę środowiska i łagodzenie zmian klimatycznych</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1.3.2. Rozwijanie podmiotów gospodarczych w kluczowych branżach dla regionu</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CEL OGÓLNY 1 </w:t>
      </w:r>
    </w:p>
    <w:p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b/>
        </w:rPr>
        <w:t>Zrównoważony rozwój społeczno-gospodarczy oparty na wykorzystaniu zasobów obszaru z poszanowaniem środowiska  i przeciwdziałaniu zmianom klimatycznym do 2022 (23)r</w:t>
      </w:r>
      <w:r w:rsidRPr="00E87A5F">
        <w:rPr>
          <w:rFonts w:ascii="Times New Roman" w:eastAsia="Calibri" w:hAnsi="Times New Roman" w:cs="Times New Roman"/>
        </w:rPr>
        <w:t>.</w:t>
      </w:r>
    </w:p>
    <w:p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rPr>
        <w:t>Tak sformułowany cel bezpośrednio wynika z diagnozy, sformułowanych problemów rozwoju obszaru w trakcie konsultacji oraz analizy SWOT LGD Kwiat Lnu. Uczestnicy konsultacji wskazywali iż jedną z najważniejszych kwestii jest wykorzystanie specyficznych i niepowtarzalnych zasobów przyrodniczych, historycznych, kulturowych i społecznych obszaru, które stanowią potencjał rozwojowy pod warunkiem ich zrównoważonego wykorzystania. Zrównoważony rozwój oznacza odpowiednio ukształtowane relacje pomiędzy wzrostem gospodarczym, dbałością o środowisko i podnoszeniem jakości życia z korzyścią dla obecnego pokolenia i bez uszczerbku dla przyszłych pokoleń. Cel ten odnosi się również do dwóch celów przekrojowych PROW 2014-2020 tj. ochrony środowiska, przeciwdziałaniu zmianom klimatycznym a w celu szczegółowym „Aktywne, innowacyjne podmioty gospodarcze tworzące miejsca pracy, dbające o ochronę środowiska i łagodzenie zmian klimatycznych”  jest również odniesienie do celu przekrojowego związanego z innowacyjnością. Wysoki priorytet dla tych kwestii w strategii podkreślają odpowiednie kryteria wyboru operacji związane właśnie z zastosowaniem rozwiązań sprzyjających  ochronie środowiska, przeciwdziałaniu zmianom klimatycznym oraz innowacjom.</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Wysoka ranga została również przypisana celowi szczegółowemu 1.3 związanemu z rozwojem przedsiębiorczości na obszarze LGD. Według uczestników konsultacji duży poziom bezrobocia, niedostateczna ilość miejsc pracy oraz migracje młodych w poszukiwaniu lepszych warunków życia powodują iż wsparcie zakładania podmiotów gospodarczych i rozwoju przedsiębiorczości to ważny kierunek poprawy warunków na rynku pracy, wsparcia osób bezrobotnych z obszarów wiejskich i zatrzymania tendencji migracyjnych. Cele szczegółowe 1.1 oraz 1.2 odnoszą się bezpośrednio do zidentyfikowanych problemów na obszarze LGD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braków związanych z zagospodarowaniem przestrzeni publicznych w miejscowościach, zwiększenia dbałości o dziedzictwo kulturowe oraz przyrodnicze i większego aktywizowania i integrowania społeczności lokalnych. Związki pomiędzy zidentyfikowanymi problemami, sformułowanymi celami i przedsięwzięciami oraz wskaźnikami ich osiągania zostały przedstawione w tabeli matrycy logicznej.</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CEL SZCZEGÓŁOWY 1.1 Region z zadbaną przestrzenią publiczną i środowiskiem, atrakcyjny turystycznie</w:t>
      </w:r>
    </w:p>
    <w:p w:rsidR="005F5E3C" w:rsidRPr="00E87A5F" w:rsidRDefault="005F5E3C" w:rsidP="005F5E3C">
      <w:pPr>
        <w:spacing w:after="0" w:line="240" w:lineRule="auto"/>
        <w:jc w:val="both"/>
        <w:rPr>
          <w:rFonts w:ascii="Times New Roman" w:hAnsi="Times New Roman" w:cs="Times New Roman"/>
          <w:b/>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Cel ten zwiera cztery uzupełniające się przedsięwzięcia  związane z zagospodarowaniem przestrzeni publicznej na potrzeby rekreacyjne i kulturowe – ten kierunek interwencji mocno akcentowali mieszkańcy w trakcie prowadzonych konsultacji wskazując na lokalne deficyty w tym zakresie. Kolejne przedsięwzięcie  to rozwój infrastruktury </w:t>
      </w:r>
      <w:r w:rsidRPr="00E87A5F">
        <w:rPr>
          <w:rFonts w:ascii="Times New Roman" w:hAnsi="Times New Roman" w:cs="Times New Roman"/>
        </w:rPr>
        <w:lastRenderedPageBreak/>
        <w:t>turystycznej powiązany bezpośrednio z przedsięwzięciem działania promujące region, markę regionu i produkty turystyczne oraz kolejne przedsięwzięcie zachowanie dziedzictwa kulturowego i przyrodniczego które będzie dodatkowo podnosić atrakcyjność turystyczną obszaru. Przedsięwzięcia te są komplementarne, wzajemnie uzupełniające się i zapewniają interwencję o przemyślanej sekwencji wzmacniającej potencjał turystyczny obszaru LGD. Kryteria wyboru operacji zapewnią dbałość o aspekty środowiskowe oraz innowacyjność w podejmowanych działaniach. Beneficjenci tych działań reprezentować będą sektor pozarządowy i samorządowy a grupami docelowymi będą mieszkańcy obszaru w tym grupy wymagające szczególnego wsparcia m in. dzieci , młodzież, seniorzy, przedsiębiorcy, turyści, osoby bezrobotne, przedsiębiorcy</w:t>
      </w:r>
    </w:p>
    <w:p w:rsidR="005F5E3C" w:rsidRPr="00E87A5F" w:rsidRDefault="005F5E3C" w:rsidP="005F5E3C">
      <w:pPr>
        <w:pStyle w:val="Akapitzlist"/>
        <w:numPr>
          <w:ilvl w:val="2"/>
          <w:numId w:val="21"/>
        </w:numPr>
        <w:tabs>
          <w:tab w:val="right" w:pos="567"/>
        </w:tabs>
        <w:suppressAutoHyphens w:val="0"/>
        <w:spacing w:after="160" w:line="240" w:lineRule="auto"/>
        <w:ind w:left="0" w:firstLine="0"/>
        <w:contextualSpacing/>
        <w:jc w:val="both"/>
        <w:rPr>
          <w:rFonts w:ascii="Times New Roman" w:hAnsi="Times New Roman" w:cs="Times New Roman"/>
          <w:b/>
        </w:rPr>
      </w:pPr>
      <w:r w:rsidRPr="00E87A5F">
        <w:rPr>
          <w:rFonts w:ascii="Times New Roman" w:hAnsi="Times New Roman" w:cs="Times New Roman"/>
          <w:b/>
        </w:rPr>
        <w:t xml:space="preserve">Zagospodarowanie przestrzeni publicznej na potrzeby rekreacyjne i kulturowe </w:t>
      </w:r>
      <w:r w:rsidRPr="00E87A5F">
        <w:rPr>
          <w:rFonts w:ascii="Times New Roman" w:hAnsi="Times New Roman" w:cs="Times New Roman"/>
        </w:rPr>
        <w:t>w tym</w:t>
      </w:r>
      <w:r w:rsidRPr="00E87A5F">
        <w:rPr>
          <w:rFonts w:ascii="Times New Roman" w:hAnsi="Times New Roman" w:cs="Times New Roman"/>
          <w:b/>
        </w:rPr>
        <w:t>:</w:t>
      </w:r>
      <w:r w:rsidRPr="00E87A5F">
        <w:rPr>
          <w:rFonts w:ascii="Times New Roman" w:hAnsi="Times New Roman" w:cs="Times New Roman"/>
        </w:rPr>
        <w:t xml:space="preserve"> zagospodarowanie centrów wsi, tworzenie  miejsc integracji i spotkań, place zabaw, siłownie, boiska wielofunkcyjne, parki linowe, wioski tematyczne  itp.</w:t>
      </w:r>
    </w:p>
    <w:p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Działania niezbędne do podjęcia w tym zakresie, wynikające z diagnozy i słabych stron  pozwolą rozwinąć infrastrukturę kulturową i rekreacyjną w miejscowościach na terenie których brakuje takiego zagospodarowania  dodając atrakcyjności obszaru i wpływając na podniesienie jakości życia mieszkańców. Przedsięwzięcie obejmuje infrastrukturę, która będzie bazą dla organizacji różnych form aktywności lokalnej umożliwiających rozwój pasji i integrujących mieszkańców. Jednocześnie są odpowiedzią na problemy, które zostały zidentyfikowane  podczas spotkań z mieszkańcami i badaniach ankietowych. Aż 70% osób wskazało na niewystarczające zagospodarowanie  przestrzeni publicznej w swoich miejscowościach a tylko 10% jest zadowolona z infrastruktury która jest dyspozycji. W trakcie konsultacji mieszkańcy podnosili takie problemy jak: niedostateczne zagospodarowanie przestrzeni publicznej w stosunku do potrzeb mieszkańców, słaba infrastruktura rekreacyjna, niewystarczająca liczba miejsc do integracji mieszkańców.</w:t>
      </w:r>
    </w:p>
    <w:p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 xml:space="preserve">beneficjent: </w:t>
      </w:r>
      <w:r w:rsidR="002279EE">
        <w:rPr>
          <w:rFonts w:ascii="Times New Roman" w:hAnsi="Times New Roman" w:cs="Times New Roman"/>
        </w:rPr>
        <w:t xml:space="preserve">samorządowa instytucja kultury </w:t>
      </w:r>
      <w:r w:rsidRPr="00E87A5F">
        <w:rPr>
          <w:rFonts w:ascii="Times New Roman" w:hAnsi="Times New Roman" w:cs="Times New Roman"/>
        </w:rPr>
        <w:t>JST i NGO</w:t>
      </w:r>
    </w:p>
    <w:p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rodzaj: konkurs, grant</w:t>
      </w:r>
    </w:p>
    <w:p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b/>
        </w:rPr>
      </w:pPr>
      <w:r w:rsidRPr="00E87A5F">
        <w:rPr>
          <w:rFonts w:ascii="Times New Roman" w:eastAsiaTheme="minorHAnsi" w:hAnsi="Times New Roman" w:cs="Times New Roman"/>
          <w:b/>
          <w:lang w:eastAsia="en-US"/>
        </w:rPr>
        <w:t>1.1.2</w:t>
      </w:r>
      <w:r w:rsidRPr="00E87A5F">
        <w:rPr>
          <w:rFonts w:ascii="Times New Roman" w:eastAsiaTheme="minorHAnsi" w:hAnsi="Times New Roman" w:cs="Times New Roman"/>
          <w:lang w:eastAsia="en-US"/>
        </w:rPr>
        <w:t xml:space="preserve"> </w:t>
      </w:r>
      <w:r w:rsidRPr="00E87A5F">
        <w:rPr>
          <w:rFonts w:ascii="Times New Roman" w:hAnsi="Times New Roman" w:cs="Times New Roman"/>
          <w:b/>
        </w:rPr>
        <w:t xml:space="preserve">Rozwój infrastruktury turystycznej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tworzenie lub modernizacja tras turystycznych i rekreacyjnych (pieszych, konnych, rowerowych, </w:t>
      </w:r>
      <w:proofErr w:type="spellStart"/>
      <w:r w:rsidRPr="00E87A5F">
        <w:rPr>
          <w:rFonts w:ascii="Times New Roman" w:hAnsi="Times New Roman" w:cs="Times New Roman"/>
        </w:rPr>
        <w:t>rollkostrad</w:t>
      </w:r>
      <w:proofErr w:type="spellEnd"/>
      <w:r w:rsidRPr="00E87A5F">
        <w:rPr>
          <w:rFonts w:ascii="Times New Roman" w:hAnsi="Times New Roman" w:cs="Times New Roman"/>
        </w:rPr>
        <w:t>, edukacyjnych, narciarskich, historycznych, kajakowych, itp.).</w:t>
      </w:r>
      <w:r w:rsidRPr="00E87A5F">
        <w:rPr>
          <w:rFonts w:ascii="Times New Roman" w:hAnsi="Times New Roman" w:cs="Times New Roman"/>
          <w:b/>
        </w:rPr>
        <w:t xml:space="preserve"> </w:t>
      </w:r>
      <w:r w:rsidRPr="00E87A5F">
        <w:rPr>
          <w:rFonts w:ascii="Times New Roman" w:hAnsi="Times New Roman" w:cs="Times New Roman"/>
        </w:rPr>
        <w:t>Budowa lub przebudowa obiektów o charakterze turystycznym, punkty informacji turystycznej, mała infrastruktura turystyczna np. wiaty, ławki, miejsca postoju, miejsca widokowe, toalety ekologiczne itp. oraz ich monitoring. Mała infrastruktura miejsc edukacji przyrodniczej /np.  ścieżek przyrodniczych/ oraz przygotowanie obiektów do pełnienia takich funkcji.</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pozwolą na podniesienie standardu i atrakcyjności  turystycznej obszaru wykorzystując jego walory położenia geograficznego. Dodatkowo pozwolą na zróżnicowanie oferty turystycznej poprawiając kompleksowość oferty co wpłynie na wzrost ruchu turystycznego i w konsekwencji na wzrost wskaźnika Schneidera. Potrzebę  wzmocnienia turystyki jako obszaru generującego dochody i miejsca pracy  pokazały głównie wywiady z mieszkańcami i wywiady fokusowe z przedsiębiorcami.  60% badanych  wskazało na  niewystarczającą liczbę różnego typu szlaków, tras i ścieżek, oraz niezadowalający stan i nierównomierne rozłożenie infrastruktury turystycznej i okołoturystycznej, konieczność rewitalizacji szlaków  i małej infrastruktury. Badanie fokusowe pokazało również, że ponad połowo ( 56% ) osób zajmujących się turystyką jest chętna do współpracy partnerskiej na rzecz rozwoju turystyki.</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JST i NGO, rodzaj: konkurs, grant</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b/>
        </w:rPr>
        <w:t xml:space="preserve">1.1.3 Działania promujące region, markę regionu  oraz produkty lokalne i turystyczne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promowanie i wyeksponowanie atrakcji turystycznych na obszarze LGD,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w:t>
      </w:r>
      <w:proofErr w:type="spellStart"/>
      <w:r w:rsidRPr="00E87A5F">
        <w:rPr>
          <w:rFonts w:ascii="Times New Roman" w:hAnsi="Times New Roman" w:cs="Times New Roman"/>
        </w:rPr>
        <w:t>internetu</w:t>
      </w:r>
      <w:proofErr w:type="spellEnd"/>
      <w:r w:rsidRPr="00E87A5F">
        <w:rPr>
          <w:rFonts w:ascii="Times New Roman" w:hAnsi="Times New Roman" w:cs="Times New Roman"/>
        </w:rPr>
        <w:t xml:space="preserve">, portali </w:t>
      </w:r>
      <w:proofErr w:type="spellStart"/>
      <w:r w:rsidRPr="00E87A5F">
        <w:rPr>
          <w:rFonts w:ascii="Times New Roman" w:hAnsi="Times New Roman" w:cs="Times New Roman"/>
        </w:rPr>
        <w:t>społecznościowych</w:t>
      </w:r>
      <w:proofErr w:type="spellEnd"/>
      <w:r w:rsidRPr="00E87A5F">
        <w:rPr>
          <w:rFonts w:ascii="Times New Roman" w:hAnsi="Times New Roman" w:cs="Times New Roman"/>
        </w:rPr>
        <w:t xml:space="preserve">, radia, TV, filmy promocyjne, materiały w j. polskim  i wielojęzycznie. Opracowanie i wdrażanie marki, usług i produktów regionu Kwiat Lnu. </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zwiększenie rozpoznawalności obszaru LGD, promocja najważniejszych produktów i usług turystycznych  (np.: obiektów, szlaków, atrakcji, walorów przyrodniczych itp.). Stworzenie jednolitej marki regionu, zidentyfikowania dóbr turystycznych i nadaniu im odpowiedniej jakości. Spotkania z mieszkańcami i grupą przedsiębiorców pokazały, że aż 80% osób widzi szansę rozwoju turystyki na naszym obszarze w sprawnej i jednolitej promocji wsparte opracowaną i wdrażaną marką usług i produktów Kwiatu Lnu. Działania te są komplementarne z  przedsięwzięciami 1.1.2, 1.1.4.</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beneficjent: JST i NGO, rodzaj: konkurs, projekty współpracy.</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LGD planuje do realizacji 3 projekty współpracy w tym jeden międzynarodowy. Wszystkie będą wpisywały się w przedsięwzięcie 1.1.3.:</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1 projekt współpracy (2016 – 2018)</w:t>
      </w:r>
      <w:r w:rsidRPr="00E87A5F">
        <w:rPr>
          <w:rFonts w:ascii="Times New Roman" w:hAnsi="Times New Roman" w:cs="Times New Roman"/>
        </w:rPr>
        <w:t xml:space="preserve"> - międzynarodowy z partnerami z Czech, podpisane porozumienie 16.12.2015r. Główne założenia i cel to wzajemna promocja obszarów Lokalnych Grup Działania  poprzez wielojęzyczne wydawnictwa turystyczne. Do projektu LGD Kwiat Lnu zaangażuje powstałe w wyniku wcześniejszego projektu współpracy miejsca informacji turystycznej, które będą zajmować się dystrybucją materiałów. W wyniku współpracy mają powstać 4 rodzaje wydawnictw turystycznych.</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 xml:space="preserve">2 projekt współpracy (2019 – 2021) </w:t>
      </w:r>
      <w:r w:rsidRPr="00E87A5F">
        <w:rPr>
          <w:rFonts w:ascii="Times New Roman" w:hAnsi="Times New Roman" w:cs="Times New Roman"/>
        </w:rPr>
        <w:t xml:space="preserve"> – główne założenia i cele: wypracowanie marki lokalnej, opracowania kryteriów marki, zasad przyznawania, system certyfikacji, identyfikacja produktów, produktów rolnych, rzemiosła, miejsc, </w:t>
      </w:r>
      <w:r w:rsidRPr="00E87A5F">
        <w:rPr>
          <w:rFonts w:ascii="Times New Roman" w:hAnsi="Times New Roman" w:cs="Times New Roman"/>
        </w:rPr>
        <w:lastRenderedPageBreak/>
        <w:t xml:space="preserve">obiektów, usług  na terenie każdego LGD, które potencjalnie są zainteresowane uczestnictwem w systemie marki, wymiana doświadczeń.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3 projekt współpracy</w:t>
      </w:r>
      <w:r w:rsidRPr="00E87A5F">
        <w:rPr>
          <w:rFonts w:ascii="Times New Roman" w:hAnsi="Times New Roman" w:cs="Times New Roman"/>
        </w:rPr>
        <w:t xml:space="preserve"> (2019–2021) – główny cel to stworzenie wspólnego koszyka potraw jako produktu promującego nasz obszar. W ramach działań planuje się wyłonienie wyjątkowych potraw wykonanych z produktów regionalnych, które będą serwowane w lokalnych restauracjach i barach.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Szczegółowe wskaźniki dotyczące projektów współpracy zostały określone w Planie działania.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projektów współpracy ściśle wynika z analizy SWOT obszaru, z której wynika potrzeba opracowania jednej, wspólnej marki regionu, wzmocnienia promocji turystycznej regionu, produktów i usług lokalnych</w:t>
      </w: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1.1.4 Zachowanie dziedzictwa kulturowego i przyrodniczego </w:t>
      </w:r>
      <w:r w:rsidRPr="00E87A5F">
        <w:rPr>
          <w:rFonts w:ascii="Times New Roman" w:hAnsi="Times New Roman" w:cs="Times New Roman"/>
        </w:rPr>
        <w:t xml:space="preserve">w tym: remont, konserwacja, rewitalizacja obiektów wpisanych do rejestru zabytków lub objętych ewidencją zabytków. Rozwój istniejących i tworzenie nowych miejsc prezentacji produktów lokalnych i rękodzieła, pamiątek i dziedzictwa historycznego np. galerii, skansenów, </w:t>
      </w:r>
      <w:proofErr w:type="spellStart"/>
      <w:r w:rsidRPr="00E87A5F">
        <w:rPr>
          <w:rFonts w:ascii="Times New Roman" w:hAnsi="Times New Roman" w:cs="Times New Roman"/>
        </w:rPr>
        <w:t>ekomuzeów</w:t>
      </w:r>
      <w:proofErr w:type="spellEnd"/>
      <w:r w:rsidRPr="00E87A5F">
        <w:rPr>
          <w:rFonts w:ascii="Times New Roman" w:hAnsi="Times New Roman" w:cs="Times New Roman"/>
        </w:rPr>
        <w:t xml:space="preserve">, izb pamięci. Działania na rzecz zachowania krajobrazu kulturowego wsi, odtwarzanie i rewitalizacja alei, </w:t>
      </w:r>
      <w:proofErr w:type="spellStart"/>
      <w:r w:rsidRPr="00E87A5F">
        <w:rPr>
          <w:rFonts w:ascii="Times New Roman" w:hAnsi="Times New Roman" w:cs="Times New Roman"/>
        </w:rPr>
        <w:t>nasadzeń</w:t>
      </w:r>
      <w:proofErr w:type="spellEnd"/>
      <w:r w:rsidRPr="00E87A5F">
        <w:rPr>
          <w:rFonts w:ascii="Times New Roman" w:hAnsi="Times New Roman" w:cs="Times New Roman"/>
        </w:rPr>
        <w:t>, detali przestrzeni wiejskiej oraz małych obiektów zabytkowych: krzyże, kapliczki, rzeźby itp. Działania niezbędne do podjęcia w tym zakresie, wynikające ze słabych stron i diagnozy, to utrzymanie obiektów zabytkowych i przyrodniczych w dobrym stanie, ich renowacja, konserwacja, rewitalizacja w celu zachowania dziedzictwa kulturowego i przyrodniczego które jest niezaprzeczalnym skarbem obszaru. Zły stan zabytków nie generuje ruchu turystycznego i miejsc pracy w tym obszarze. Podczas spotkań z mieszkańcami i badań ankietowych 63% respondentów zwróciło uwagę na brak dbałości o zachowanie tego dziedzictwa oraz na możliwość podejmowania niektórych działań w ramach środków PROW</w:t>
      </w:r>
      <w:r w:rsidRPr="00E87A5F">
        <w:rPr>
          <w:rFonts w:ascii="Times New Roman" w:hAnsi="Times New Roman" w:cs="Times New Roman"/>
          <w:color w:val="FF0000"/>
        </w:rPr>
        <w: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grant.</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1.2 Aktywna, zintegrowana i świadoma ekologicznie  społeczność lokalna</w:t>
      </w:r>
    </w:p>
    <w:p w:rsidR="005F5E3C" w:rsidRPr="00E87A5F" w:rsidRDefault="005F5E3C" w:rsidP="005F5E3C">
      <w:pPr>
        <w:pStyle w:val="Akapitzlist"/>
        <w:spacing w:after="0" w:line="240" w:lineRule="auto"/>
        <w:ind w:left="0"/>
        <w:jc w:val="both"/>
        <w:rPr>
          <w:rFonts w:ascii="Times New Roman" w:hAnsi="Times New Roman" w:cs="Times New Roman"/>
          <w:b/>
        </w:rPr>
      </w:pP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rPr>
        <w:t>Cel ten zawiera dwa uzupełniające się przedsięwzięcia tj.: działania rozwijające potencjał społeczności lokalnych i organizacji oraz edukacja przyrodnicza i klimatyczna oraz funkcjonowanie LGD i włączenie mieszkańców we wdrażanie LSR. To cel wspierający mocno oddolne projekty „miękkie” kierowane do grup o największych deficytach aktywizacji i edukacji tj. dzieci, młodzieży i seniorów, liderów, organizacji, woluntariatu. Wzmocnienie tych grup i większe włączenie w decyzje dotyczące LSR wpłynie na pełniejsze zaangażowanie  społeczności lokalnych w planowanie projektów oraz ich wdrażanie w ramach strategii LSR.</w:t>
      </w:r>
      <w:r w:rsidRPr="00E87A5F">
        <w:rPr>
          <w:rFonts w:ascii="Times New Roman" w:hAnsi="Times New Roman" w:cs="Times New Roman"/>
          <w:b/>
        </w:rPr>
        <w:t xml:space="preserve"> </w:t>
      </w:r>
      <w:r w:rsidRPr="00E87A5F">
        <w:rPr>
          <w:rFonts w:ascii="Times New Roman" w:hAnsi="Times New Roman" w:cs="Times New Roman"/>
        </w:rPr>
        <w:t>W celu 1.2 założono iż podnoszenie świadomości ekologicznej w zakresie środowiska, przyrody i klimatu będzie skutkowało podejmowaniem różnorodnych działań ekologicznych w skali lokalnej i może wpłynąć na łagodzenie zmian klimatycznych w dłuższej perspektywie co będzie również wpływało pozytywnie  na realizację działań celu 1.1. tj. „Region z zadbaną przestrzenią publiczną i środowiskiem, atrakcyjny turystycznie”.</w:t>
      </w: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1.2.1. Działania rozwijające potencjał społeczności lokalnych i organizacji oraz edukacja przyrodnicza i klimatyczna </w:t>
      </w:r>
      <w:r w:rsidRPr="00E87A5F">
        <w:rPr>
          <w:rFonts w:ascii="Times New Roman" w:hAnsi="Times New Roman" w:cs="Times New Roman"/>
        </w:rPr>
        <w:t>w tym: warsztaty i zajęcia prowadzone przede wszystkim w świetlicach dla dzieci, młodzieży i seniorów,  tworzenie i rozwój kół zainteresowań, prowadzenie zajęć rekreacyjnych oraz promujących zdrowy styl życia, „mobilne domy kultury” i „mobilne uniwersytety”, 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ulotki, foldery, strony internetowe. Działania niezbędne do podjęcia w tym zakresie, wynikające ze słabych stron i diagnozy, to budowanie i wzmocnienia kapitału społecznego i ich edukacja, szeroka mobilizacja mieszkańców, liderów lokalnych i organizacji pozarządowych do aktywnego działania na rzecz swojej społeczności. w badaniach prowadzonych przy opracowaniu LSR mieszkańcy źle oceniają aktywność społeczną i ofertę spędzania czasu wolnego, osoby niezadowolone stanowią ponad 60%  badanych, bardzo zadowoleni stanowią w obu przypadkach zaledwie 8% respondentów.</w:t>
      </w:r>
      <w:r w:rsidRPr="00E87A5F">
        <w:rPr>
          <w:rFonts w:ascii="Times New Roman" w:hAnsi="Times New Roman" w:cs="Times New Roman"/>
          <w:color w:val="FF0000"/>
        </w:rPr>
        <w:t xml:space="preserve"> </w:t>
      </w:r>
      <w:r w:rsidRPr="00E87A5F">
        <w:rPr>
          <w:rFonts w:ascii="Times New Roman" w:hAnsi="Times New Roman" w:cs="Times New Roman"/>
        </w:rPr>
        <w:t xml:space="preserve">W trakcie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wskazywano również na słaby poziom wiedzy i świadomości dotyczącej wartości przyrodniczych obszaru oraz zagrożeń związanych ze zmianami klimatycznymi, które mogą wpłynąć na utratę tych wartości. Stąd tez w kryteriach wyboru będą premiowanie aktywne działania w tym zakresie.</w:t>
      </w:r>
    </w:p>
    <w:p w:rsidR="003A2AD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grant</w:t>
      </w: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1.2.2.Funkcjonowanie LGD oraz włączenie mieszkańców we wdrażanie LSR</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Działanie realizowane będzie po podpisaniu umowy ramowej pomiędzy LGD a Urzędem Marszałkowskim. Służy wzmocnieniu kapitału społecznego obszaru poprzez zapewnienie finansowania niezbędnych kosztów działalności LGD (koszty bieżące i koszty aktywizacji/animacji).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Działania w tym przedsięwzięciu będą się również koncentrować na zwiększeniu partycypacji mieszkańców w decyzjach dotyczących monitoringu i aktualizacji LSR które będą realizowane przy zaangażowaniu mieszkańców, </w:t>
      </w:r>
      <w:r w:rsidRPr="00E87A5F">
        <w:rPr>
          <w:rFonts w:ascii="Times New Roman" w:hAnsi="Times New Roman" w:cs="Times New Roman"/>
        </w:rPr>
        <w:lastRenderedPageBreak/>
        <w:t>organizacji i samorządu. Słaby poziom partycypacji w decyzjach lokalnych został zidentyfikowany jako jedna z barier rozwoju społeczeństwa obywatelskiego na obszarze LSR i jako słaba strona umieszczony w analizie SWOT.</w:t>
      </w:r>
    </w:p>
    <w:p w:rsidR="005F5E3C" w:rsidRPr="00E87A5F" w:rsidRDefault="005F5E3C" w:rsidP="005F5E3C">
      <w:pPr>
        <w:pStyle w:val="Akapitzlist"/>
        <w:spacing w:after="0" w:line="240" w:lineRule="auto"/>
        <w:ind w:left="0"/>
        <w:jc w:val="both"/>
        <w:rPr>
          <w:rFonts w:ascii="Times New Roman" w:hAnsi="Times New Roman" w:cs="Times New Roman"/>
        </w:rPr>
      </w:pP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1.3 Aktywne, innowacyjne podmioty gospodarcze tworzące miejsca pracy,  dbające o ochronę środowiska i łagodzenie zmian klimatycznych</w:t>
      </w:r>
    </w:p>
    <w:p w:rsidR="005F5E3C" w:rsidRPr="00E87A5F" w:rsidRDefault="005F5E3C" w:rsidP="005F5E3C">
      <w:pPr>
        <w:pStyle w:val="Akapitzlist"/>
        <w:spacing w:after="0" w:line="240" w:lineRule="auto"/>
        <w:ind w:left="0"/>
        <w:jc w:val="both"/>
        <w:rPr>
          <w:rFonts w:ascii="Times New Roman" w:hAnsi="Times New Roman" w:cs="Times New Roman"/>
          <w:b/>
        </w:rPr>
      </w:pP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Cel szczegółowy 1.3 został zdefiniowany jako ramy dla działań pobudzających przedsiębiorczość na obszarze LGD Kwiat Lnu. W trakcie konsultacji społecznych oraz diagnozy potwierdziły się niekorzystne dane dotyczące wskaźników przedsiębiorczości, poziomu i struktury bezrobocia, niedostatecznej liczby miejsc pracy, słabych powiązań kształcenia zawodowego z rynkiem pracy. Konsekwencją tej sytuacji są wysoki poziom bezrobocia na obszarach wiejskich, migracje osób młodych w poszukiwaniu pracy, niska zamożność lokalnej społeczności zdefiniowane w analizie SWOT. Stąd też cel stawia na aktywizację podmiotów gospodarczych zakładanych przez osoby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na rynku pracy oraz rozwój miejsc pracy w już funkcjonujących przedsiębiorstwach w kluczowych dla obszaru branżach m.in.: turystyce, gastronomii, przetwórstwie lokalnym, usługi opiekuńcze. Ze względu na niski poziom innowacyjności preferowane będą operacje wdrażające na obszarze LGD nowy lub znacząco udoskonalony produkt, usługę, proces, organizację lub nowy sposób wykorzystania zasobów przyrodniczych, środowiskowych, historycznych kulturowych  lub społecznych w podmiocie gospodarczym. Preferowane będą również operacje mające na względzie ochronę środowiska i łagodzenie zmian klimatycznych.</w:t>
      </w:r>
    </w:p>
    <w:p w:rsidR="005F5E3C" w:rsidRPr="00E87A5F" w:rsidRDefault="005F5E3C" w:rsidP="005F5E3C">
      <w:pPr>
        <w:pStyle w:val="Akapitzlist"/>
        <w:spacing w:after="0" w:line="240" w:lineRule="auto"/>
        <w:ind w:left="0"/>
        <w:jc w:val="both"/>
        <w:rPr>
          <w:rFonts w:ascii="Times New Roman" w:hAnsi="Times New Roman" w:cs="Times New Roman"/>
        </w:rPr>
      </w:pPr>
      <w:r w:rsidRPr="00D3435C">
        <w:rPr>
          <w:rFonts w:ascii="Times New Roman" w:hAnsi="Times New Roman" w:cs="Times New Roman"/>
          <w:b/>
        </w:rPr>
        <w:t xml:space="preserve">1.3.1 </w:t>
      </w:r>
      <w:r w:rsidR="00D3435C" w:rsidRPr="00D3435C">
        <w:rPr>
          <w:rFonts w:ascii="Times New Roman" w:hAnsi="Times New Roman" w:cs="Times New Roman"/>
          <w:b/>
        </w:rPr>
        <w:t xml:space="preserve">Wspieranie tworzenia nowych podmiotów gospodarczych dla osób fizycznych (w tym przez  oraz osób z grupy </w:t>
      </w:r>
      <w:proofErr w:type="spellStart"/>
      <w:r w:rsidR="00D3435C" w:rsidRPr="00D3435C">
        <w:rPr>
          <w:rFonts w:ascii="Times New Roman" w:hAnsi="Times New Roman" w:cs="Times New Roman"/>
          <w:b/>
        </w:rPr>
        <w:t>defaworyzowanej</w:t>
      </w:r>
      <w:proofErr w:type="spellEnd"/>
      <w:r w:rsidR="00D3435C" w:rsidRPr="00D3435C">
        <w:rPr>
          <w:rFonts w:ascii="Times New Roman" w:hAnsi="Times New Roman" w:cs="Times New Roman"/>
          <w:b/>
        </w:rPr>
        <w:t xml:space="preserve"> (</w:t>
      </w:r>
      <w:proofErr w:type="spellStart"/>
      <w:r w:rsidR="00D3435C" w:rsidRPr="00D3435C">
        <w:rPr>
          <w:rFonts w:ascii="Times New Roman" w:hAnsi="Times New Roman" w:cs="Times New Roman"/>
          <w:b/>
        </w:rPr>
        <w:t>t.j</w:t>
      </w:r>
      <w:proofErr w:type="spellEnd"/>
      <w:r w:rsidR="00D3435C" w:rsidRPr="00D3435C">
        <w:rPr>
          <w:rFonts w:ascii="Times New Roman" w:hAnsi="Times New Roman" w:cs="Times New Roman"/>
          <w:b/>
        </w:rPr>
        <w:t xml:space="preserve"> osoby bezrobotne zarejestrowane w PUP</w:t>
      </w:r>
      <w:r w:rsidR="00D3435C">
        <w:rPr>
          <w:rFonts w:ascii="Times New Roman" w:hAnsi="Times New Roman" w:cs="Times New Roman"/>
          <w:b/>
        </w:rPr>
        <w:t>,</w:t>
      </w:r>
      <w:r w:rsidR="00D3435C" w:rsidRPr="00861578">
        <w:rPr>
          <w:rFonts w:ascii="Times New Roman" w:hAnsi="Times New Roman" w:cs="Times New Roman"/>
          <w:b/>
        </w:rPr>
        <w:t xml:space="preserve"> </w:t>
      </w:r>
      <w:r w:rsidR="00D3435C">
        <w:rPr>
          <w:rFonts w:ascii="Times New Roman" w:hAnsi="Times New Roman" w:cs="Times New Roman"/>
          <w:b/>
        </w:rPr>
        <w:t xml:space="preserve">osoby </w:t>
      </w:r>
      <w:r w:rsidR="00D3435C" w:rsidRPr="00861578">
        <w:rPr>
          <w:rFonts w:ascii="Times New Roman" w:hAnsi="Times New Roman" w:cs="Times New Roman"/>
          <w:b/>
        </w:rPr>
        <w:t>długotrwale bezrobotnych, bezrobotnych do 35roku życia, be</w:t>
      </w:r>
      <w:r w:rsidR="00D3435C">
        <w:rPr>
          <w:rFonts w:ascii="Times New Roman" w:hAnsi="Times New Roman" w:cs="Times New Roman"/>
          <w:b/>
        </w:rPr>
        <w:t>zrobotnych zamieszkałych na wsi</w:t>
      </w:r>
      <w:r w:rsidR="00D3435C" w:rsidRPr="00861578">
        <w:rPr>
          <w:rFonts w:ascii="Times New Roman" w:hAnsi="Times New Roman" w:cs="Times New Roman"/>
          <w:b/>
        </w:rPr>
        <w:t>)</w:t>
      </w:r>
      <w:r w:rsidRPr="00E87A5F">
        <w:rPr>
          <w:rFonts w:ascii="Times New Roman" w:hAnsi="Times New Roman" w:cs="Times New Roman"/>
          <w:b/>
        </w:rPr>
        <w:t xml:space="preserve"> </w:t>
      </w:r>
      <w:r w:rsidRPr="00E87A5F">
        <w:rPr>
          <w:rFonts w:ascii="Times New Roman" w:hAnsi="Times New Roman" w:cs="Times New Roman"/>
        </w:rPr>
        <w:t>w tym: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 Działania niezbędne do podjęcia w tym zakresie, wynikające ze słabych stron i diagnozy, to zwiększenie ilości miejsc pracy i  podwyższenie poziomu przedsiębiorczości m.in. przy wykorzystaniu walorów turystycznych obszaru. Z analizy danych wynika, że mieszkańcy najgorzej ocenili rynek pracy i zarobki, dane statystyczne potwierdzają, że na obszarze funkcjonuje stosunkowo niewiele firm, zarobki są niższe niż średnia w województwie i Polsce. Podczas spotkań 85% mieszkańców opowiedziała się za koniecznością interwencji w tym zakresie.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osoby fizyczne,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 premia ryczałtowa</w:t>
      </w: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1.3.2 Rozwijanie podmiotów gospodarczych w</w:t>
      </w:r>
      <w:r w:rsidR="008E44F2">
        <w:rPr>
          <w:rFonts w:ascii="Times New Roman" w:hAnsi="Times New Roman" w:cs="Times New Roman"/>
          <w:b/>
        </w:rPr>
        <w:t xml:space="preserve"> tym</w:t>
      </w:r>
      <w:r w:rsidRPr="00E87A5F">
        <w:rPr>
          <w:rFonts w:ascii="Times New Roman" w:hAnsi="Times New Roman" w:cs="Times New Roman"/>
          <w:b/>
        </w:rPr>
        <w:t xml:space="preserve"> </w:t>
      </w:r>
      <w:r w:rsidR="008E44F2">
        <w:rPr>
          <w:rFonts w:ascii="Times New Roman" w:hAnsi="Times New Roman" w:cs="Times New Roman"/>
          <w:b/>
        </w:rPr>
        <w:t>kluczowych branżach dla regionu</w:t>
      </w:r>
      <w:r w:rsidRPr="00E87A5F">
        <w:rPr>
          <w:rFonts w:ascii="Times New Roman" w:hAnsi="Times New Roman" w:cs="Times New Roman"/>
        </w:rPr>
        <w:t>: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w:t>
      </w:r>
      <w:r w:rsidRPr="00E87A5F">
        <w:rPr>
          <w:rFonts w:ascii="Times New Roman" w:hAnsi="Times New Roman" w:cs="Times New Roman"/>
          <w:b/>
        </w:rPr>
        <w: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m.in zwiększenie ilości miejsc pracy, modernizacja firm, większe wykorzystanie położenia LGD na cele turystyczne pod kątem przedsiębiorczości. Na spotkaniach z biznesem oraz po przeanalizowaniu ankiet 95% respondentów wskazuje potrzebę wzmacniania lokalnego biznesu w celu poprawy warunków życia oraz ograniczeniu migracji m.in. osób do 35 roku życia.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przedsiębiorcy, rodzaj: konkurs </w:t>
      </w:r>
    </w:p>
    <w:p w:rsidR="005F5E3C" w:rsidRPr="00E87A5F" w:rsidRDefault="00D3435C" w:rsidP="005F5E3C">
      <w:pPr>
        <w:spacing w:after="0" w:line="240" w:lineRule="auto"/>
        <w:jc w:val="both"/>
        <w:rPr>
          <w:rFonts w:ascii="Times New Roman" w:hAnsi="Times New Roman" w:cs="Times New Roman"/>
        </w:rPr>
      </w:pPr>
      <w:r w:rsidRPr="00D3435C">
        <w:rPr>
          <w:rFonts w:ascii="Times New Roman" w:eastAsia="Calibri" w:hAnsi="Times New Roman" w:cs="Times New Roman"/>
          <w:u w:val="single"/>
        </w:rPr>
        <w:t>Intensywność pomocy:</w:t>
      </w:r>
      <w:r w:rsidRPr="00D3435C">
        <w:rPr>
          <w:rFonts w:ascii="Times New Roman" w:eastAsia="Calibri" w:hAnsi="Times New Roman" w:cs="Times New Roman"/>
        </w:rPr>
        <w:t xml:space="preserve"> w przypadku operacji w ramach przedsięwzięcia 1.3.1 Wspieranie tworzenia nowych podmiotów gospodarczych dla osób fizycznych oraz z grupy </w:t>
      </w:r>
      <w:proofErr w:type="spellStart"/>
      <w:r w:rsidRPr="00D3435C">
        <w:rPr>
          <w:rFonts w:ascii="Times New Roman" w:eastAsia="Calibri" w:hAnsi="Times New Roman" w:cs="Times New Roman"/>
        </w:rPr>
        <w:t>defaworyzowanej</w:t>
      </w:r>
      <w:proofErr w:type="spellEnd"/>
      <w:r w:rsidRPr="00D3435C">
        <w:rPr>
          <w:rFonts w:ascii="Times New Roman" w:eastAsia="Calibri" w:hAnsi="Times New Roman" w:cs="Times New Roman"/>
        </w:rPr>
        <w:t xml:space="preserve"> określonej w LSR (</w:t>
      </w:r>
      <w:proofErr w:type="spellStart"/>
      <w:r w:rsidRPr="00D3435C">
        <w:rPr>
          <w:rFonts w:ascii="Times New Roman" w:eastAsia="Calibri" w:hAnsi="Times New Roman" w:cs="Times New Roman"/>
        </w:rPr>
        <w:t>t.j</w:t>
      </w:r>
      <w:proofErr w:type="spellEnd"/>
      <w:r w:rsidRPr="00D3435C">
        <w:rPr>
          <w:rFonts w:ascii="Times New Roman" w:eastAsia="Calibri" w:hAnsi="Times New Roman" w:cs="Times New Roman"/>
        </w:rPr>
        <w:t xml:space="preserve"> osób bezrobotnych zarejestrowanych w PUP, długotrwale bezrobotnych, bezrobotnych do 35roku życia, bezrobotnych zamieszkałych na wsi)</w:t>
      </w:r>
      <w:r>
        <w:rPr>
          <w:rFonts w:ascii="Times New Roman" w:eastAsia="Calibri" w:hAnsi="Times New Roman" w:cs="Times New Roman"/>
          <w:color w:val="FF0000"/>
        </w:rPr>
        <w:t xml:space="preserve"> </w:t>
      </w:r>
      <w:r w:rsidR="005F5E3C"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 kluczowych branżach dla regionu Każdorazowo na etapie wyboru operacji LGD premiować będzie jednak operacje, w ramach których wnioskodawca przewidział wniesienie wkładu własnego wyższego niż wymagany.</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63,63% kosztów kwalifikowanych w przypadku operacji realizowanych przez jednostki sektora finansów publicznych,</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rsidR="005F5E3C" w:rsidRPr="00E87A5F" w:rsidRDefault="005F5E3C" w:rsidP="005F5E3C">
      <w:pPr>
        <w:pStyle w:val="Akapitzlist"/>
        <w:spacing w:after="0" w:line="240" w:lineRule="auto"/>
        <w:ind w:left="0"/>
        <w:jc w:val="both"/>
        <w:rPr>
          <w:rFonts w:ascii="Times New Roman" w:hAnsi="Times New Roman" w:cs="Times New Roman"/>
        </w:rPr>
        <w:sectPr w:rsidR="005F5E3C" w:rsidRPr="00E87A5F" w:rsidSect="003A2AD2">
          <w:type w:val="nextColumn"/>
          <w:pgSz w:w="11906" w:h="16838"/>
          <w:pgMar w:top="567" w:right="567" w:bottom="426" w:left="851" w:header="709" w:footer="3" w:gutter="0"/>
          <w:cols w:space="708"/>
          <w:docGrid w:linePitch="360"/>
        </w:sectPr>
      </w:pPr>
    </w:p>
    <w:tbl>
      <w:tblPr>
        <w:tblStyle w:val="Tabela-Siatka1"/>
        <w:tblpPr w:leftFromText="141" w:rightFromText="141" w:vertAnchor="page" w:horzAnchor="margin" w:tblpY="144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3"/>
        <w:gridCol w:w="2099"/>
        <w:gridCol w:w="1923"/>
        <w:gridCol w:w="1517"/>
        <w:gridCol w:w="3621"/>
        <w:gridCol w:w="1407"/>
        <w:gridCol w:w="1407"/>
        <w:gridCol w:w="1166"/>
        <w:gridCol w:w="1723"/>
      </w:tblGrid>
      <w:tr w:rsidR="009D52AF" w:rsidRPr="009D52AF" w:rsidTr="009D52AF">
        <w:trPr>
          <w:trHeight w:val="554"/>
        </w:trPr>
        <w:tc>
          <w:tcPr>
            <w:tcW w:w="247" w:type="pct"/>
            <w:shd w:val="solid" w:color="D9D9D9" w:themeColor="background1" w:themeShade="D9" w:fill="auto"/>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1.0</w:t>
            </w:r>
          </w:p>
        </w:tc>
        <w:tc>
          <w:tcPr>
            <w:tcW w:w="671" w:type="pct"/>
            <w:shd w:val="solid" w:color="D9D9D9" w:themeColor="background1" w:themeShade="D9" w:fill="auto"/>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 OGÓLNY 1</w:t>
            </w:r>
          </w:p>
        </w:tc>
        <w:tc>
          <w:tcPr>
            <w:tcW w:w="4082" w:type="pct"/>
            <w:gridSpan w:val="7"/>
            <w:shd w:val="solid" w:color="D9D9D9" w:themeColor="background1" w:themeShade="D9" w:fill="auto"/>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Zrównoważony rozwój </w:t>
            </w:r>
            <w:proofErr w:type="spellStart"/>
            <w:r w:rsidRPr="009D52AF">
              <w:rPr>
                <w:rFonts w:ascii="Calibri" w:hAnsi="Calibri" w:cs="Times New Roman"/>
              </w:rPr>
              <w:t>społeczno</w:t>
            </w:r>
            <w:proofErr w:type="spellEnd"/>
            <w:r w:rsidRPr="009D52AF">
              <w:rPr>
                <w:rFonts w:ascii="Calibri" w:hAnsi="Calibri" w:cs="Times New Roman"/>
              </w:rPr>
              <w:t xml:space="preserve"> – gospodarczy oparty na wykorzystaniu zasobów obszaru z poszanowaniem środowiska i przeciwdziałaniu zmianom klimatycznym Lokalnej Grupy Działania Kwiat Lnu do 2022 (23)r.</w:t>
            </w:r>
          </w:p>
        </w:tc>
      </w:tr>
      <w:tr w:rsidR="009D52AF" w:rsidRPr="009D52AF" w:rsidTr="009D52AF">
        <w:trPr>
          <w:trHeight w:val="422"/>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w:t>
            </w:r>
          </w:p>
        </w:tc>
        <w:tc>
          <w:tcPr>
            <w:tcW w:w="671" w:type="pct"/>
            <w:vMerge w:val="restart"/>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CELE SZCZEGÓŁOWE</w:t>
            </w:r>
          </w:p>
        </w:tc>
        <w:tc>
          <w:tcPr>
            <w:tcW w:w="4082" w:type="pct"/>
            <w:gridSpan w:val="7"/>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Region z zadbaną przestrzenią publiczną i środowiskiem, atrakcyjny turystycznie</w:t>
            </w:r>
          </w:p>
        </w:tc>
      </w:tr>
      <w:tr w:rsidR="009D52AF" w:rsidRPr="009D52AF" w:rsidTr="009D52AF">
        <w:trPr>
          <w:trHeight w:val="413"/>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1.2</w:t>
            </w:r>
          </w:p>
        </w:tc>
        <w:tc>
          <w:tcPr>
            <w:tcW w:w="671" w:type="pct"/>
            <w:vMerge/>
          </w:tcPr>
          <w:p w:rsidR="009D52AF" w:rsidRPr="009D52AF" w:rsidRDefault="009D52AF" w:rsidP="009D52AF">
            <w:pPr>
              <w:spacing w:after="200" w:line="276" w:lineRule="auto"/>
              <w:rPr>
                <w:rFonts w:ascii="Calibri" w:hAnsi="Calibri" w:cs="Times New Roman"/>
              </w:rPr>
            </w:pPr>
          </w:p>
        </w:tc>
        <w:tc>
          <w:tcPr>
            <w:tcW w:w="4082" w:type="pct"/>
            <w:gridSpan w:val="7"/>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Aktywna, zintegrowana i świadoma ekologicznie społeczność lokalna</w:t>
            </w:r>
          </w:p>
        </w:tc>
      </w:tr>
      <w:tr w:rsidR="009D52AF" w:rsidRPr="009D52AF" w:rsidTr="009D52AF">
        <w:trPr>
          <w:trHeight w:val="411"/>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1.3</w:t>
            </w:r>
          </w:p>
        </w:tc>
        <w:tc>
          <w:tcPr>
            <w:tcW w:w="671" w:type="pct"/>
            <w:vMerge/>
          </w:tcPr>
          <w:p w:rsidR="009D52AF" w:rsidRPr="009D52AF" w:rsidRDefault="009D52AF" w:rsidP="009D52AF">
            <w:pPr>
              <w:spacing w:after="200" w:line="276" w:lineRule="auto"/>
              <w:rPr>
                <w:rFonts w:ascii="Calibri" w:hAnsi="Calibri" w:cs="Times New Roman"/>
              </w:rPr>
            </w:pPr>
          </w:p>
        </w:tc>
        <w:tc>
          <w:tcPr>
            <w:tcW w:w="4082" w:type="pct"/>
            <w:gridSpan w:val="7"/>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Aktywne, innowacyjne podmioty gospodarcze tworzące miejsca pracy, dbające o ochronę środowiska i łagodzenie zmian klimatycznych</w:t>
            </w:r>
          </w:p>
        </w:tc>
      </w:tr>
      <w:tr w:rsidR="009D52AF" w:rsidRPr="009D52AF" w:rsidTr="009D52AF">
        <w:trPr>
          <w:trHeight w:val="423"/>
        </w:trPr>
        <w:tc>
          <w:tcPr>
            <w:tcW w:w="918" w:type="pct"/>
            <w:gridSpan w:val="2"/>
          </w:tcPr>
          <w:p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Wskaźniki oddziaływania dla celu ogólnego</w:t>
            </w:r>
          </w:p>
        </w:tc>
        <w:tc>
          <w:tcPr>
            <w:tcW w:w="1158"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2014 rok</w:t>
            </w: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rsidTr="009D52AF">
        <w:trPr>
          <w:trHeight w:val="315"/>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W1.0</w:t>
            </w: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Wzrost dochodów własnych gmin z podatków od osób fizycznych </w:t>
            </w:r>
          </w:p>
        </w:tc>
        <w:tc>
          <w:tcPr>
            <w:tcW w:w="1158" w:type="pct"/>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37</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rsidTr="009D52AF">
        <w:trPr>
          <w:trHeight w:val="23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poziomu kapitału społecznego - liczba zarejestrowanych organizacji w KRS</w:t>
            </w:r>
          </w:p>
        </w:tc>
        <w:tc>
          <w:tcPr>
            <w:tcW w:w="1158" w:type="pct"/>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szt.</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211</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230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rsidTr="009D52AF">
        <w:trPr>
          <w:trHeight w:val="23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intensywności ruchu turystycznego</w:t>
            </w:r>
          </w:p>
        </w:tc>
        <w:tc>
          <w:tcPr>
            <w:tcW w:w="1158" w:type="pct"/>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 Schneidera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63,5</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70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rsidTr="009D52AF">
        <w:trPr>
          <w:trHeight w:val="635"/>
        </w:trPr>
        <w:tc>
          <w:tcPr>
            <w:tcW w:w="918" w:type="pct"/>
            <w:gridSpan w:val="2"/>
          </w:tcPr>
          <w:p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 rezultatu dla celów szczegółowych</w:t>
            </w:r>
          </w:p>
        </w:tc>
        <w:tc>
          <w:tcPr>
            <w:tcW w:w="1158"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2016 rok</w:t>
            </w: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Źródło danych/sposób pomiaru</w:t>
            </w:r>
          </w:p>
        </w:tc>
      </w:tr>
      <w:tr w:rsidR="009D52AF" w:rsidRPr="009D52AF" w:rsidTr="009D52AF">
        <w:trPr>
          <w:trHeight w:val="487"/>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w1.1</w:t>
            </w: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miejsca przestrzeni publicznej</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utworzone lub zmodernizowane trasy turystyczne</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użytkowników utworzonej, przebudowanej infrastruktury turystycznej</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poinformowanych o atrakcjach turystycznych</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15000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efektów realizacji projektów współpracy</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1020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obiektów zabytkowych poddanych remontom, konserwacji, rewitalizacji</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odwiedzających miejsca prezentacji produktów lokalnych i dziedzictwa historycznego</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mieszkańców miejscowości, którzy skorzystali z miejsc odtwarzania i rewitalizacji krajobrazu kulturowego wsi</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299"/>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w1.2</w:t>
            </w:r>
          </w:p>
        </w:tc>
        <w:tc>
          <w:tcPr>
            <w:tcW w:w="1771" w:type="pct"/>
            <w:gridSpan w:val="3"/>
          </w:tcPr>
          <w:p w:rsidR="009D52AF" w:rsidRPr="009D52AF" w:rsidRDefault="009D52AF" w:rsidP="009D52AF">
            <w:pPr>
              <w:spacing w:after="200" w:line="276" w:lineRule="auto"/>
              <w:rPr>
                <w:rFonts w:ascii="Times New Roman" w:hAnsi="Times New Roman" w:cs="Times New Roman"/>
              </w:rPr>
            </w:pPr>
            <w:r w:rsidRPr="009D52AF">
              <w:rPr>
                <w:rFonts w:ascii="Times New Roman" w:hAnsi="Times New Roman" w:cs="Times New Roman"/>
              </w:rPr>
              <w:t>Liczba osób uczestniczących w projektach grantowych</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strike/>
              </w:rPr>
            </w:pPr>
            <w:r w:rsidRPr="009D52AF">
              <w:rPr>
                <w:rFonts w:ascii="Calibri" w:hAnsi="Calibri" w:cs="Times New Roman"/>
              </w:rPr>
              <w:t>740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29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osób uczestniczących w spotkaniach, szkoleniach </w:t>
            </w:r>
            <w:proofErr w:type="spellStart"/>
            <w:r w:rsidRPr="009D52AF">
              <w:rPr>
                <w:rFonts w:ascii="Calibri" w:hAnsi="Calibri" w:cs="Times New Roman"/>
              </w:rPr>
              <w:t>informacyjno</w:t>
            </w:r>
            <w:proofErr w:type="spellEnd"/>
            <w:r w:rsidRPr="009D52AF">
              <w:rPr>
                <w:rFonts w:ascii="Calibri" w:hAnsi="Calibri" w:cs="Times New Roman"/>
              </w:rPr>
              <w:t xml:space="preserve">  - konsultacyjnych</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29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odbiorców promocji LGD i LSR</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29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Procent realizacji LSR</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rsidTr="009D52AF">
        <w:trPr>
          <w:trHeight w:val="246"/>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W1.3</w:t>
            </w: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utworzonych miejsc pracy </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322"/>
        </w:trPr>
        <w:tc>
          <w:tcPr>
            <w:tcW w:w="918" w:type="pct"/>
            <w:gridSpan w:val="2"/>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Przedsięwzięcia</w:t>
            </w:r>
          </w:p>
        </w:tc>
        <w:tc>
          <w:tcPr>
            <w:tcW w:w="615"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Grupy docelowe</w:t>
            </w:r>
          </w:p>
        </w:tc>
        <w:tc>
          <w:tcPr>
            <w:tcW w:w="485"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Sposób realizacji (konkurs, projekt grantowy, operacja własna, projekt współpracy, </w:t>
            </w:r>
            <w:r w:rsidRPr="009D52AF">
              <w:rPr>
                <w:rFonts w:ascii="Calibri" w:hAnsi="Calibri" w:cs="Times New Roman"/>
              </w:rPr>
              <w:lastRenderedPageBreak/>
              <w:t>aktywizacja itp.)</w:t>
            </w:r>
          </w:p>
        </w:tc>
        <w:tc>
          <w:tcPr>
            <w:tcW w:w="2982" w:type="pct"/>
            <w:gridSpan w:val="5"/>
            <w:shd w:val="solid" w:color="D9D9D9" w:themeColor="background1" w:themeShade="D9" w:fill="auto"/>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lastRenderedPageBreak/>
              <w:t>Wskaźniki produktu</w:t>
            </w:r>
          </w:p>
        </w:tc>
      </w:tr>
      <w:tr w:rsidR="009D52AF" w:rsidRPr="009D52AF" w:rsidTr="009D52AF">
        <w:trPr>
          <w:trHeight w:val="420"/>
        </w:trPr>
        <w:tc>
          <w:tcPr>
            <w:tcW w:w="918" w:type="pct"/>
            <w:gridSpan w:val="2"/>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1158"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nazwa</w:t>
            </w:r>
          </w:p>
        </w:tc>
        <w:tc>
          <w:tcPr>
            <w:tcW w:w="450"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823" w:type="pct"/>
            <w:gridSpan w:val="2"/>
            <w:shd w:val="solid" w:color="D9D9D9" w:themeColor="background1" w:themeShade="D9" w:fill="auto"/>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wartość</w:t>
            </w:r>
          </w:p>
        </w:tc>
        <w:tc>
          <w:tcPr>
            <w:tcW w:w="551"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rsidTr="009D52AF">
        <w:trPr>
          <w:trHeight w:val="200"/>
        </w:trPr>
        <w:tc>
          <w:tcPr>
            <w:tcW w:w="918" w:type="pct"/>
            <w:gridSpan w:val="2"/>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1158"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450"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Początkowa 2016 rok</w:t>
            </w:r>
          </w:p>
        </w:tc>
        <w:tc>
          <w:tcPr>
            <w:tcW w:w="373"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Końcowa 2023 rok</w:t>
            </w:r>
          </w:p>
        </w:tc>
        <w:tc>
          <w:tcPr>
            <w:tcW w:w="551"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r>
      <w:tr w:rsidR="009D52AF" w:rsidRPr="009D52AF" w:rsidTr="009D52AF">
        <w:trPr>
          <w:trHeight w:val="561"/>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1.1.1</w:t>
            </w:r>
          </w:p>
        </w:tc>
        <w:tc>
          <w:tcPr>
            <w:tcW w:w="671" w:type="pct"/>
          </w:tcPr>
          <w:p w:rsidR="009D52AF" w:rsidRPr="009D52AF" w:rsidRDefault="009D52AF" w:rsidP="009D52AF">
            <w:pPr>
              <w:spacing w:after="200" w:line="276" w:lineRule="auto"/>
              <w:rPr>
                <w:rFonts w:ascii="Calibri" w:hAnsi="Calibri" w:cs="Times New Roman"/>
                <w:b/>
              </w:rPr>
            </w:pPr>
            <w:r w:rsidRPr="009D52AF">
              <w:rPr>
                <w:rFonts w:ascii="Calibri" w:hAnsi="Calibri" w:cs="Times New Roman"/>
              </w:rPr>
              <w:t>Zagospodarowanie przestrzeni publicznej na potrzeby rekreacyjne i kulturowe</w:t>
            </w:r>
          </w:p>
        </w:tc>
        <w:tc>
          <w:tcPr>
            <w:tcW w:w="615" w:type="pct"/>
          </w:tcPr>
          <w:p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p>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 </w:t>
            </w:r>
          </w:p>
        </w:tc>
        <w:tc>
          <w:tcPr>
            <w:tcW w:w="485"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zagospodarowanych miejsc przestrzeni publicznej</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28</w:t>
            </w:r>
          </w:p>
        </w:tc>
        <w:tc>
          <w:tcPr>
            <w:tcW w:w="55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394"/>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1.1.2</w:t>
            </w:r>
          </w:p>
        </w:tc>
        <w:tc>
          <w:tcPr>
            <w:tcW w:w="67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Rozwój infrastruktury turystycznej </w:t>
            </w:r>
          </w:p>
        </w:tc>
        <w:tc>
          <w:tcPr>
            <w:tcW w:w="615" w:type="pct"/>
            <w:vMerge w:val="restart"/>
          </w:tcPr>
          <w:p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p>
          <w:p w:rsidR="009D52AF" w:rsidRPr="009D52AF" w:rsidRDefault="009D52AF" w:rsidP="009D52AF">
            <w:pPr>
              <w:spacing w:after="200" w:line="276" w:lineRule="auto"/>
              <w:jc w:val="center"/>
              <w:rPr>
                <w:rFonts w:ascii="Calibri" w:hAnsi="Calibri" w:cs="Times New Roman"/>
              </w:rPr>
            </w:pP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lub zmodernizowanych tras turystycznych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79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przebudowanych obiektów infrastruktury turystycznej</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 xml:space="preserve"> 12</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1.1.3</w:t>
            </w:r>
          </w:p>
        </w:tc>
        <w:tc>
          <w:tcPr>
            <w:tcW w:w="67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promujące region, markę regionu oraz  produkty lokalne i turystyczne</w:t>
            </w:r>
          </w:p>
        </w:tc>
        <w:tc>
          <w:tcPr>
            <w:tcW w:w="615" w:type="pct"/>
            <w:vMerge w:val="restart"/>
          </w:tcPr>
          <w:p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ngo</w:t>
            </w:r>
            <w:proofErr w:type="spellEnd"/>
            <w:r w:rsidRPr="009D52AF">
              <w:rPr>
                <w:rFonts w:ascii="Calibri" w:hAnsi="Calibri" w:cs="Times New Roman"/>
              </w:rPr>
              <w:t xml:space="preserve">, </w:t>
            </w:r>
            <w:proofErr w:type="spellStart"/>
            <w:r w:rsidRPr="009D52AF">
              <w:rPr>
                <w:rFonts w:ascii="Calibri" w:hAnsi="Calibri" w:cs="Times New Roman"/>
              </w:rPr>
              <w:t>jst</w:t>
            </w:r>
            <w:proofErr w:type="spellEnd"/>
            <w:r w:rsidRPr="009D52AF">
              <w:rPr>
                <w:rFonts w:ascii="Calibri" w:hAnsi="Calibri" w:cs="Times New Roman"/>
              </w:rPr>
              <w:t xml:space="preserve">, LGD,  </w:t>
            </w: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wyeksponowanych atrakcji /obiektów turystycznych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80</w:t>
            </w: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350"/>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promocji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rsidR="009D52AF" w:rsidRPr="009D52AF" w:rsidRDefault="009D52AF" w:rsidP="009D52AF">
            <w:pPr>
              <w:spacing w:after="200" w:line="276" w:lineRule="auto"/>
              <w:jc w:val="center"/>
              <w:rPr>
                <w:rFonts w:ascii="Calibri" w:hAnsi="Calibri" w:cs="Times New Roman"/>
              </w:rPr>
            </w:pPr>
          </w:p>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Projekt</w:t>
            </w:r>
            <w:r w:rsidRPr="009D52AF">
              <w:rPr>
                <w:rFonts w:ascii="Calibri" w:hAnsi="Calibri" w:cs="Times New Roman"/>
                <w:color w:val="FF0000"/>
              </w:rPr>
              <w:t xml:space="preserve"> </w:t>
            </w:r>
            <w:r w:rsidRPr="009D52AF">
              <w:rPr>
                <w:rFonts w:ascii="Calibri" w:hAnsi="Calibri" w:cs="Times New Roman"/>
              </w:rPr>
              <w:t>współpracy</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konferencji partnerskich w ramach projektu międzynarodowego</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1 </w:t>
            </w: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w ramach projektu międzynarodowego</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wizyt</w:t>
            </w:r>
            <w:r w:rsidR="000F5DAD">
              <w:rPr>
                <w:rFonts w:ascii="Calibri" w:hAnsi="Calibri" w:cs="Times New Roman"/>
              </w:rPr>
              <w:t xml:space="preserve"> studyjnych u partnerów </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rsidR="009D52AF" w:rsidRPr="009D52AF" w:rsidRDefault="009D52AF" w:rsidP="009D52AF">
            <w:pPr>
              <w:spacing w:after="200" w:line="276" w:lineRule="auto"/>
              <w:jc w:val="center"/>
              <w:rPr>
                <w:rFonts w:ascii="Calibri" w:hAnsi="Calibri" w:cs="Times New Roman"/>
                <w:color w:val="FF0000"/>
              </w:rPr>
            </w:pPr>
            <w:r w:rsidRPr="009D52AF">
              <w:rPr>
                <w:rFonts w:ascii="Calibri" w:hAnsi="Calibri" w:cs="Times New Roman"/>
              </w:rPr>
              <w:t>Projekt</w:t>
            </w:r>
          </w:p>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lastRenderedPageBreak/>
              <w:t>współpracy</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Liczba zrealizowanych konferencji pn. Marka Lokalna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 dot. metod pracy z potencjalnymi uczestnikami marki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szkoleń/spotkań dot. marki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dot. wymiany doświadczeń</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Opracowanie strategii wprowadzania na rynek marki lokalnej</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wypracowanych marek lokalnych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i promocji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wizyt studyjnych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Projekt współpracy</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Powstanie szlaku kulinarnego Koszyk Dolnośląskich Smaków</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Kampania promocyjna kulinarnego szlaku Koszyk Dolnośląskich Smaków</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07"/>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1.1.4</w:t>
            </w:r>
          </w:p>
        </w:tc>
        <w:tc>
          <w:tcPr>
            <w:tcW w:w="67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Zachowanie dziedzictwa kulturowego i przyrodniczego</w:t>
            </w:r>
          </w:p>
        </w:tc>
        <w:tc>
          <w:tcPr>
            <w:tcW w:w="615" w:type="pct"/>
            <w:vMerge w:val="restart"/>
          </w:tcPr>
          <w:p w:rsidR="002279EE" w:rsidRDefault="002279EE" w:rsidP="009D52AF">
            <w:pPr>
              <w:spacing w:after="200" w:line="276" w:lineRule="auto"/>
              <w:jc w:val="center"/>
              <w:rPr>
                <w:rFonts w:ascii="Calibri" w:hAnsi="Calibri" w:cs="Times New Roman"/>
              </w:rPr>
            </w:pPr>
            <w:r w:rsidRPr="002279EE">
              <w:rPr>
                <w:rFonts w:ascii="Calibri" w:hAnsi="Calibri" w:cs="Times New Roman"/>
              </w:rPr>
              <w:t>samorządowa instytucja kultury</w:t>
            </w:r>
            <w:r>
              <w:rPr>
                <w:rFonts w:ascii="Calibri" w:hAnsi="Calibri" w:cs="Times New Roman"/>
              </w:rPr>
              <w:t>,</w:t>
            </w:r>
          </w:p>
          <w:p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r w:rsidRPr="009D52AF">
              <w:rPr>
                <w:rFonts w:ascii="Calibri" w:hAnsi="Calibri" w:cs="Times New Roman"/>
              </w:rPr>
              <w:t xml:space="preserve">, </w:t>
            </w:r>
          </w:p>
          <w:p w:rsidR="009D52AF" w:rsidRPr="009D52AF" w:rsidRDefault="009D52AF" w:rsidP="009D52AF">
            <w:pPr>
              <w:spacing w:after="200" w:line="276" w:lineRule="auto"/>
              <w:jc w:val="center"/>
              <w:rPr>
                <w:rFonts w:ascii="Calibri" w:hAnsi="Calibri" w:cs="Times New Roman"/>
              </w:rPr>
            </w:pP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obiektów zabytkowych poddanych remontom, konserwacji, rewitalizacji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07"/>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prezentacji produktów lokalnych i dziedzictwa historycznego</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6</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07"/>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odtwarzania i rewitalizacji krajobrazu kulturowego wsi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578"/>
        </w:trPr>
        <w:tc>
          <w:tcPr>
            <w:tcW w:w="247" w:type="pct"/>
          </w:tcPr>
          <w:p w:rsidR="009D52AF" w:rsidRPr="009D52AF" w:rsidRDefault="002279EE" w:rsidP="009D52AF">
            <w:pPr>
              <w:spacing w:after="200" w:line="276" w:lineRule="auto"/>
              <w:rPr>
                <w:rFonts w:ascii="Calibri" w:hAnsi="Calibri" w:cs="Times New Roman"/>
              </w:rPr>
            </w:pPr>
            <w:r>
              <w:rPr>
                <w:rFonts w:ascii="Calibri" w:hAnsi="Calibri" w:cs="Times New Roman"/>
              </w:rPr>
              <w:t>1.2.1</w:t>
            </w:r>
          </w:p>
        </w:tc>
        <w:tc>
          <w:tcPr>
            <w:tcW w:w="67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rozwijające potencjał społeczności lokalnych i organizacji oraz edukacja przyrodnicza i klimatyczna</w:t>
            </w:r>
          </w:p>
        </w:tc>
        <w:tc>
          <w:tcPr>
            <w:tcW w:w="615" w:type="pct"/>
          </w:tcPr>
          <w:p w:rsidR="002279EE" w:rsidRDefault="002279EE" w:rsidP="009D52AF">
            <w:pPr>
              <w:spacing w:after="200" w:line="276" w:lineRule="auto"/>
              <w:jc w:val="center"/>
              <w:rPr>
                <w:rFonts w:ascii="Calibri" w:hAnsi="Calibri" w:cs="Times New Roman"/>
              </w:rPr>
            </w:pPr>
            <w:r w:rsidRPr="002279EE">
              <w:rPr>
                <w:rFonts w:ascii="Calibri" w:hAnsi="Calibri" w:cs="Times New Roman"/>
              </w:rPr>
              <w:t>samorządowa instytucja kultury</w:t>
            </w:r>
            <w:r>
              <w:rPr>
                <w:rFonts w:ascii="Calibri" w:hAnsi="Calibri" w:cs="Times New Roman"/>
              </w:rPr>
              <w:t>,</w:t>
            </w:r>
          </w:p>
          <w:p w:rsidR="009D52AF" w:rsidRPr="009D52AF" w:rsidRDefault="009D52AF" w:rsidP="009D52AF">
            <w:pPr>
              <w:spacing w:after="200" w:line="276" w:lineRule="auto"/>
              <w:jc w:val="center"/>
              <w:rPr>
                <w:rFonts w:ascii="Calibri" w:hAnsi="Calibri" w:cs="Times New Roman"/>
                <w:color w:val="FF0000"/>
              </w:rPr>
            </w:pPr>
            <w:proofErr w:type="spellStart"/>
            <w:r w:rsidRPr="009D52AF">
              <w:rPr>
                <w:rFonts w:ascii="Calibri" w:hAnsi="Calibri" w:cs="Times New Roman"/>
              </w:rPr>
              <w:t>ngo</w:t>
            </w:r>
            <w:proofErr w:type="spellEnd"/>
            <w:r w:rsidRPr="009D52AF">
              <w:rPr>
                <w:rFonts w:ascii="Calibri" w:hAnsi="Calibri" w:cs="Times New Roman"/>
              </w:rPr>
              <w:t xml:space="preserve">, </w:t>
            </w:r>
            <w:r w:rsidRPr="009D52AF">
              <w:rPr>
                <w:rFonts w:ascii="Calibri" w:hAnsi="Calibri" w:cs="Times New Roman"/>
                <w:strike/>
              </w:rPr>
              <w:t xml:space="preserve"> </w:t>
            </w:r>
            <w:proofErr w:type="spellStart"/>
            <w:r w:rsidRPr="009D52AF">
              <w:rPr>
                <w:rFonts w:ascii="Calibri" w:hAnsi="Calibri" w:cs="Times New Roman"/>
              </w:rPr>
              <w:t>jst</w:t>
            </w:r>
            <w:proofErr w:type="spellEnd"/>
            <w:r w:rsidRPr="009D52AF">
              <w:rPr>
                <w:rFonts w:ascii="Calibri" w:hAnsi="Calibri" w:cs="Times New Roman"/>
              </w:rPr>
              <w:t xml:space="preserve"> </w:t>
            </w:r>
          </w:p>
        </w:tc>
        <w:tc>
          <w:tcPr>
            <w:tcW w:w="485"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Grant</w:t>
            </w:r>
          </w:p>
        </w:tc>
        <w:tc>
          <w:tcPr>
            <w:tcW w:w="1158" w:type="pct"/>
          </w:tcPr>
          <w:p w:rsidR="009D52AF" w:rsidRPr="009D52AF" w:rsidRDefault="000F5DAD" w:rsidP="009D52AF">
            <w:pPr>
              <w:spacing w:after="200" w:line="276" w:lineRule="auto"/>
              <w:rPr>
                <w:rFonts w:ascii="Calibri" w:hAnsi="Calibri" w:cs="Times New Roman"/>
              </w:rPr>
            </w:pPr>
            <w:r w:rsidRPr="000F5DAD">
              <w:rPr>
                <w:rFonts w:ascii="Calibri" w:hAnsi="Calibri" w:cs="Times New Roman"/>
              </w:rPr>
              <w:t>Liczba powierzonych grantów</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48</w:t>
            </w:r>
          </w:p>
        </w:tc>
        <w:tc>
          <w:tcPr>
            <w:tcW w:w="55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622"/>
        </w:trPr>
        <w:tc>
          <w:tcPr>
            <w:tcW w:w="247" w:type="pct"/>
            <w:vMerge w:val="restart"/>
          </w:tcPr>
          <w:p w:rsidR="009D52AF" w:rsidRPr="009D52AF" w:rsidRDefault="002279EE" w:rsidP="009D52AF">
            <w:pPr>
              <w:spacing w:after="200" w:line="276" w:lineRule="auto"/>
              <w:rPr>
                <w:rFonts w:ascii="Calibri" w:hAnsi="Calibri" w:cs="Times New Roman"/>
              </w:rPr>
            </w:pPr>
            <w:r>
              <w:rPr>
                <w:rFonts w:ascii="Calibri" w:hAnsi="Calibri" w:cs="Times New Roman"/>
              </w:rPr>
              <w:t>1.2.2</w:t>
            </w:r>
          </w:p>
        </w:tc>
        <w:tc>
          <w:tcPr>
            <w:tcW w:w="67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Funkcjonowanie Lokalnej Grupy Działania oraz włączenie mieszkańców we wdrażanie LSR</w:t>
            </w:r>
          </w:p>
        </w:tc>
        <w:tc>
          <w:tcPr>
            <w:tcW w:w="615" w:type="pct"/>
            <w:vMerge w:val="restart"/>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LGD</w:t>
            </w: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Aktywizacja i koszty bieżące</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pracowników  LGD</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rsidTr="009D52AF">
        <w:trPr>
          <w:trHeight w:val="691"/>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organów LGD</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osobodzień</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910"/>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osób/podmiotów, którym udzielono indywidualnego doradztwa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500</w:t>
            </w: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926"/>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informacyjno-konsultacyjnych LGD z mieszkańcami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841"/>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wydarzeń promocyjnych, na których promowano działalność LGD i </w:t>
            </w:r>
            <w:r w:rsidRPr="009D52AF">
              <w:rPr>
                <w:rFonts w:ascii="Calibri" w:hAnsi="Calibri" w:cs="Times New Roman"/>
              </w:rPr>
              <w:lastRenderedPageBreak/>
              <w:t>obszar LSR</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sztuk</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77"/>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stron internetowych  LGD</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311"/>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Liczba ogłoszeń w lokalnych mediach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15</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943"/>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wydanych materiałów informacyjno-promocyjnych m.in. (plakaty, Głos Leadera, biuletyn, broszura)</w:t>
            </w:r>
          </w:p>
        </w:tc>
        <w:tc>
          <w:tcPr>
            <w:tcW w:w="450"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wydań</w:t>
            </w:r>
          </w:p>
        </w:tc>
        <w:tc>
          <w:tcPr>
            <w:tcW w:w="450"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19</w:t>
            </w: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1396"/>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miesięcy funkcjonowania biura w tym: zatrudnienie pracowników oraz usługi i zadania związane  z pracą biura i realizacją LSR</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miesiąc</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86</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290"/>
        </w:trPr>
        <w:tc>
          <w:tcPr>
            <w:tcW w:w="247" w:type="pct"/>
          </w:tcPr>
          <w:p w:rsidR="009D52AF" w:rsidRPr="009D52AF" w:rsidRDefault="008924D5" w:rsidP="009D52AF">
            <w:pPr>
              <w:spacing w:after="200" w:line="276" w:lineRule="auto"/>
              <w:rPr>
                <w:rFonts w:ascii="Calibri" w:hAnsi="Calibri" w:cs="Times New Roman"/>
              </w:rPr>
            </w:pPr>
            <w:r>
              <w:rPr>
                <w:rFonts w:ascii="Calibri" w:hAnsi="Calibri" w:cs="Times New Roman"/>
              </w:rPr>
              <w:t>1.3.1</w:t>
            </w:r>
          </w:p>
        </w:tc>
        <w:tc>
          <w:tcPr>
            <w:tcW w:w="67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Wspieranie tworzenia nowych podmiotów gospodarczych w tym przez osoby z grupy </w:t>
            </w:r>
            <w:proofErr w:type="spellStart"/>
            <w:r w:rsidRPr="009D52AF">
              <w:rPr>
                <w:rFonts w:ascii="Calibri" w:hAnsi="Calibri" w:cs="Times New Roman"/>
              </w:rPr>
              <w:t>defaworyzowanej</w:t>
            </w:r>
            <w:proofErr w:type="spellEnd"/>
            <w:r w:rsidRPr="009D52AF">
              <w:rPr>
                <w:rFonts w:ascii="Calibri" w:hAnsi="Calibri" w:cs="Times New Roman"/>
              </w:rPr>
              <w:t xml:space="preserve"> określonej w LSR</w:t>
            </w:r>
          </w:p>
        </w:tc>
        <w:tc>
          <w:tcPr>
            <w:tcW w:w="615" w:type="pct"/>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Osoby fizyczne w tym osoby </w:t>
            </w:r>
            <w:proofErr w:type="spellStart"/>
            <w:r w:rsidRPr="009D52AF">
              <w:rPr>
                <w:rFonts w:ascii="Calibri" w:hAnsi="Calibri" w:cs="Times New Roman"/>
              </w:rPr>
              <w:t>defaworyzowane</w:t>
            </w:r>
            <w:proofErr w:type="spellEnd"/>
          </w:p>
        </w:tc>
        <w:tc>
          <w:tcPr>
            <w:tcW w:w="485"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 premia ryczałtowa</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nowo utworzonych firm w tym przez osoby z grupy </w:t>
            </w:r>
            <w:proofErr w:type="spellStart"/>
            <w:r w:rsidRPr="009D52AF">
              <w:rPr>
                <w:rFonts w:ascii="Calibri" w:hAnsi="Calibri" w:cs="Times New Roman"/>
              </w:rPr>
              <w:t>defowaryzowanej</w:t>
            </w:r>
            <w:proofErr w:type="spellEnd"/>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24</w:t>
            </w:r>
          </w:p>
        </w:tc>
        <w:tc>
          <w:tcPr>
            <w:tcW w:w="55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11"/>
        </w:trPr>
        <w:tc>
          <w:tcPr>
            <w:tcW w:w="247" w:type="pct"/>
          </w:tcPr>
          <w:p w:rsidR="009D52AF" w:rsidRPr="009D52AF" w:rsidRDefault="002279EE" w:rsidP="009D52AF">
            <w:pPr>
              <w:spacing w:after="200" w:line="276" w:lineRule="auto"/>
              <w:rPr>
                <w:rFonts w:ascii="Calibri" w:hAnsi="Calibri" w:cs="Times New Roman"/>
              </w:rPr>
            </w:pPr>
            <w:r>
              <w:rPr>
                <w:rFonts w:ascii="Calibri" w:hAnsi="Calibri" w:cs="Times New Roman"/>
              </w:rPr>
              <w:t>1.3.2</w:t>
            </w:r>
          </w:p>
        </w:tc>
        <w:tc>
          <w:tcPr>
            <w:tcW w:w="671" w:type="pct"/>
          </w:tcPr>
          <w:p w:rsidR="009D52AF" w:rsidRPr="009D52AF" w:rsidRDefault="009D52AF" w:rsidP="00471B14">
            <w:pPr>
              <w:spacing w:after="200" w:line="276" w:lineRule="auto"/>
              <w:rPr>
                <w:rFonts w:ascii="Calibri" w:hAnsi="Calibri" w:cs="Times New Roman"/>
              </w:rPr>
            </w:pPr>
            <w:r w:rsidRPr="009D52AF">
              <w:rPr>
                <w:rFonts w:ascii="Calibri" w:hAnsi="Calibri" w:cs="Times New Roman"/>
              </w:rPr>
              <w:t xml:space="preserve">Rozwijanie podmiotów </w:t>
            </w:r>
            <w:r w:rsidR="00471B14">
              <w:rPr>
                <w:rFonts w:ascii="Calibri" w:hAnsi="Calibri" w:cs="Times New Roman"/>
              </w:rPr>
              <w:t xml:space="preserve"> </w:t>
            </w:r>
            <w:r w:rsidRPr="009D52AF">
              <w:rPr>
                <w:rFonts w:ascii="Calibri" w:hAnsi="Calibri" w:cs="Times New Roman"/>
              </w:rPr>
              <w:t>h branżach dla regionu</w:t>
            </w:r>
          </w:p>
        </w:tc>
        <w:tc>
          <w:tcPr>
            <w:tcW w:w="615" w:type="pct"/>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Przedsiębiorcy</w:t>
            </w:r>
          </w:p>
        </w:tc>
        <w:tc>
          <w:tcPr>
            <w:tcW w:w="485"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rozwiniętych przedsiębiorstw</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8</w:t>
            </w:r>
          </w:p>
        </w:tc>
        <w:tc>
          <w:tcPr>
            <w:tcW w:w="55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707"/>
        </w:trPr>
        <w:tc>
          <w:tcPr>
            <w:tcW w:w="918" w:type="pct"/>
            <w:gridSpan w:val="2"/>
            <w:shd w:val="solid" w:color="BFBFBF" w:themeColor="background1" w:themeShade="BF" w:fill="auto"/>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Suma</w:t>
            </w:r>
          </w:p>
        </w:tc>
        <w:tc>
          <w:tcPr>
            <w:tcW w:w="615" w:type="pct"/>
            <w:shd w:val="solid" w:color="BFBFBF" w:themeColor="background1" w:themeShade="BF" w:fill="auto"/>
          </w:tcPr>
          <w:p w:rsidR="009D52AF" w:rsidRPr="009D52AF" w:rsidRDefault="009D52AF" w:rsidP="009D52AF">
            <w:pPr>
              <w:spacing w:after="200" w:line="276" w:lineRule="auto"/>
              <w:rPr>
                <w:rFonts w:ascii="Calibri" w:hAnsi="Calibri" w:cs="Times New Roman"/>
              </w:rPr>
            </w:pPr>
          </w:p>
        </w:tc>
        <w:tc>
          <w:tcPr>
            <w:tcW w:w="485" w:type="pct"/>
            <w:shd w:val="solid" w:color="BFBFBF" w:themeColor="background1" w:themeShade="BF" w:fill="auto"/>
          </w:tcPr>
          <w:p w:rsidR="009D52AF" w:rsidRPr="009D52AF" w:rsidRDefault="009D52AF" w:rsidP="009D52AF">
            <w:pPr>
              <w:spacing w:after="200" w:line="276" w:lineRule="auto"/>
              <w:rPr>
                <w:rFonts w:ascii="Calibri" w:hAnsi="Calibri" w:cs="Times New Roman"/>
              </w:rPr>
            </w:pPr>
          </w:p>
        </w:tc>
        <w:tc>
          <w:tcPr>
            <w:tcW w:w="2982" w:type="pct"/>
            <w:gridSpan w:val="5"/>
          </w:tcPr>
          <w:p w:rsidR="009D52AF" w:rsidRPr="009D52AF" w:rsidRDefault="009D52AF" w:rsidP="009D52AF">
            <w:pPr>
              <w:spacing w:after="200" w:line="276" w:lineRule="auto"/>
              <w:rPr>
                <w:rFonts w:ascii="Calibri" w:hAnsi="Calibri" w:cs="Times New Roman"/>
              </w:rPr>
            </w:pPr>
          </w:p>
        </w:tc>
      </w:tr>
    </w:tbl>
    <w:p w:rsidR="009D52AF" w:rsidRDefault="009D52AF" w:rsidP="005F5E3C">
      <w:pPr>
        <w:pStyle w:val="Legenda"/>
        <w:keepNext/>
        <w:jc w:val="left"/>
        <w:rPr>
          <w:rFonts w:ascii="Times New Roman" w:hAnsi="Times New Roman"/>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15</w:t>
      </w:r>
      <w:r w:rsidR="004F4A74" w:rsidRPr="00E87A5F">
        <w:rPr>
          <w:rFonts w:ascii="Times New Roman" w:hAnsi="Times New Roman"/>
          <w:sz w:val="22"/>
          <w:szCs w:val="22"/>
        </w:rPr>
        <w:fldChar w:fldCharType="end"/>
      </w:r>
      <w:r w:rsidRPr="00E87A5F">
        <w:rPr>
          <w:rFonts w:ascii="Times New Roman" w:hAnsi="Times New Roman"/>
          <w:sz w:val="22"/>
          <w:szCs w:val="22"/>
        </w:rPr>
        <w:t>. Cele i wskaźniki</w:t>
      </w:r>
    </w:p>
    <w:p w:rsidR="005F5E3C" w:rsidRPr="00E87A5F" w:rsidRDefault="005F5E3C" w:rsidP="005F5E3C">
      <w:pPr>
        <w:pStyle w:val="Akapitzlist"/>
        <w:spacing w:after="0" w:line="240" w:lineRule="auto"/>
        <w:ind w:left="0"/>
        <w:jc w:val="both"/>
        <w:rPr>
          <w:rFonts w:ascii="Times New Roman" w:hAnsi="Times New Roman" w:cs="Times New Roman"/>
        </w:rPr>
      </w:pP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734"/>
        <w:gridCol w:w="1647"/>
        <w:gridCol w:w="1787"/>
        <w:gridCol w:w="1878"/>
        <w:gridCol w:w="1985"/>
        <w:gridCol w:w="1752"/>
        <w:gridCol w:w="1996"/>
        <w:gridCol w:w="1740"/>
      </w:tblGrid>
      <w:tr w:rsidR="00431866" w:rsidRPr="00E87A5F" w:rsidTr="00C53C2F">
        <w:tc>
          <w:tcPr>
            <w:tcW w:w="2734"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PROBLEM/ WYZWANIE</w:t>
            </w:r>
          </w:p>
        </w:tc>
        <w:tc>
          <w:tcPr>
            <w:tcW w:w="1647" w:type="dxa"/>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CEL</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OGÓLNY</w:t>
            </w:r>
          </w:p>
        </w:tc>
        <w:tc>
          <w:tcPr>
            <w:tcW w:w="1787"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CEL SZCZEGÓŁOWY</w:t>
            </w:r>
          </w:p>
        </w:tc>
        <w:tc>
          <w:tcPr>
            <w:tcW w:w="1878"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PLANOWANE PRZEDSIĘWZIĘCIE</w:t>
            </w:r>
          </w:p>
        </w:tc>
        <w:tc>
          <w:tcPr>
            <w:tcW w:w="1985"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PRODUKTY</w:t>
            </w:r>
          </w:p>
        </w:tc>
        <w:tc>
          <w:tcPr>
            <w:tcW w:w="1752"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REZULTATY</w:t>
            </w:r>
          </w:p>
        </w:tc>
        <w:tc>
          <w:tcPr>
            <w:tcW w:w="1996"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ODDZIAŁYWANIE</w:t>
            </w:r>
          </w:p>
        </w:tc>
        <w:tc>
          <w:tcPr>
            <w:tcW w:w="1740"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CZYNNIKI ZEWNĘTRZNE</w:t>
            </w:r>
          </w:p>
        </w:tc>
      </w:tr>
      <w:tr w:rsidR="00431866" w:rsidRPr="00E87A5F" w:rsidTr="00A60F76">
        <w:trPr>
          <w:trHeight w:val="4576"/>
        </w:trPr>
        <w:tc>
          <w:tcPr>
            <w:tcW w:w="2734" w:type="dxa"/>
            <w:vMerge w:val="restart"/>
          </w:tcPr>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Zły stan wielu zabytków, starej zabudowy, zaniedbane parki wiejskie</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Słabo rozwinięte punkty informacji turystycznej</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promocja turystyczna regionu, produktów i usług lokalnych</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Brak opracowanej marki regionu </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współpracy </w:t>
            </w:r>
            <w:r w:rsidRPr="00E87A5F">
              <w:rPr>
                <w:rFonts w:ascii="Times New Roman" w:hAnsi="Times New Roman" w:cs="Times New Roman"/>
              </w:rPr>
              <w:lastRenderedPageBreak/>
              <w:t>podmiotów turystycznych</w:t>
            </w:r>
          </w:p>
          <w:p w:rsidR="005F5E3C" w:rsidRPr="00E87A5F" w:rsidRDefault="005F5E3C" w:rsidP="005F5E3C">
            <w:pPr>
              <w:pStyle w:val="Akapitzlist"/>
              <w:numPr>
                <w:ilvl w:val="0"/>
                <w:numId w:val="16"/>
              </w:numPr>
              <w:suppressAutoHyphens w:val="0"/>
              <w:contextualSpacing/>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tc>
        <w:tc>
          <w:tcPr>
            <w:tcW w:w="1647"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 xml:space="preserve">1. 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gospodarczy oparty na wykorzystaniu zasobów obszaru z poszanowaniem środowiska i przeciwdziałaniu zmianom klimatycznym Lokalnej Grupy Działania Kwiat Lnu do 2022 (23)r.</w:t>
            </w:r>
          </w:p>
        </w:tc>
        <w:tc>
          <w:tcPr>
            <w:tcW w:w="1787"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tc>
        <w:tc>
          <w:tcPr>
            <w:tcW w:w="187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zagospodarowanych </w:t>
            </w:r>
            <w:r w:rsidR="0085003C">
              <w:rPr>
                <w:rFonts w:ascii="Times New Roman" w:hAnsi="Times New Roman" w:cs="Times New Roman"/>
              </w:rPr>
              <w:t>miejsc przestrzeni publicznej-</w:t>
            </w:r>
            <w:r w:rsidR="00C3342A">
              <w:rPr>
                <w:rFonts w:ascii="Times New Roman" w:hAnsi="Times New Roman" w:cs="Times New Roman"/>
              </w:rPr>
              <w:t>28</w:t>
            </w:r>
          </w:p>
          <w:p w:rsidR="005F5E3C" w:rsidRPr="00E87A5F" w:rsidRDefault="005F5E3C" w:rsidP="00067FD0">
            <w:pPr>
              <w:rPr>
                <w:rFonts w:ascii="Times New Roman" w:hAnsi="Times New Roman" w:cs="Times New Roman"/>
              </w:rPr>
            </w:pP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 użytkujących miejsca przestrzeni publicznej - 3000</w:t>
            </w:r>
          </w:p>
        </w:tc>
        <w:tc>
          <w:tcPr>
            <w:tcW w:w="1996"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 Wzrost dochodów własnych gmin z podatków od osób fizycznych</w:t>
            </w: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r w:rsidRPr="00E87A5F">
              <w:rPr>
                <w:rFonts w:ascii="Times New Roman" w:hAnsi="Times New Roman" w:cs="Times New Roman"/>
              </w:rPr>
              <w:t>2) Wzrost poziomu kapitału społecznego - liczba zarejestrowanych organizacji w KRS</w:t>
            </w: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r w:rsidRPr="00E87A5F">
              <w:rPr>
                <w:rFonts w:ascii="Times New Roman" w:hAnsi="Times New Roman" w:cs="Times New Roman"/>
              </w:rPr>
              <w:t>3) Wzrost intensywności ruchu turystycznego</w:t>
            </w:r>
          </w:p>
        </w:tc>
        <w:tc>
          <w:tcPr>
            <w:tcW w:w="1740"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wzrost zainteresowania turystyką krajową </w:t>
            </w:r>
          </w:p>
          <w:p w:rsidR="005F5E3C" w:rsidRPr="00E87A5F" w:rsidRDefault="005F5E3C" w:rsidP="00067FD0">
            <w:pPr>
              <w:rPr>
                <w:rFonts w:ascii="Times New Roman" w:hAnsi="Times New Roman" w:cs="Times New Roman"/>
              </w:rPr>
            </w:pPr>
            <w:r w:rsidRPr="00E87A5F">
              <w:rPr>
                <w:rFonts w:ascii="Times New Roman" w:hAnsi="Times New Roman" w:cs="Times New Roman"/>
              </w:rPr>
              <w:t>(-) niebezpiecznie rosnące zadłużenie gmin wykorzystujących środki zewnętrzne</w:t>
            </w: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1.1.2. Rozwój infrastruktury turystycznej</w:t>
            </w:r>
          </w:p>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lub zmodernizowanych tras turystycznych - 4</w:t>
            </w:r>
          </w:p>
          <w:p w:rsidR="005F5E3C" w:rsidRPr="00E87A5F" w:rsidRDefault="005F5E3C" w:rsidP="00067FD0">
            <w:pPr>
              <w:rPr>
                <w:rFonts w:ascii="Times New Roman" w:hAnsi="Times New Roman" w:cs="Times New Roman"/>
              </w:rPr>
            </w:pP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 użytkujących utworzone lub zmodernizowane trasy turystyczne - 5000</w:t>
            </w:r>
          </w:p>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utworzonych, przebudowanych obiektów </w:t>
            </w:r>
            <w:r w:rsidR="0099059B">
              <w:rPr>
                <w:rFonts w:ascii="Times New Roman" w:hAnsi="Times New Roman" w:cs="Times New Roman"/>
              </w:rPr>
              <w:t>infrastruktury turystycznej - 12</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użytkowników utworzonej, przebudowanej infrastruktury turystycznej - 4000</w:t>
            </w:r>
          </w:p>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1.1.3. Działania promujące region, </w:t>
            </w:r>
            <w:r w:rsidRPr="00E87A5F">
              <w:rPr>
                <w:rFonts w:ascii="Times New Roman" w:hAnsi="Times New Roman" w:cs="Times New Roman"/>
              </w:rPr>
              <w:lastRenderedPageBreak/>
              <w:t>markę regionu oraz produkty lokalne i turystyczne</w:t>
            </w:r>
          </w:p>
        </w:tc>
        <w:tc>
          <w:tcPr>
            <w:tcW w:w="1985" w:type="dxa"/>
          </w:tcPr>
          <w:p w:rsidR="005F5E3C" w:rsidRDefault="005F5E3C" w:rsidP="00067FD0">
            <w:pPr>
              <w:rPr>
                <w:rFonts w:ascii="Times New Roman" w:hAnsi="Times New Roman" w:cs="Times New Roman"/>
              </w:rPr>
            </w:pPr>
            <w:r w:rsidRPr="00E87A5F">
              <w:rPr>
                <w:rFonts w:ascii="Times New Roman" w:hAnsi="Times New Roman" w:cs="Times New Roman"/>
              </w:rPr>
              <w:lastRenderedPageBreak/>
              <w:t xml:space="preserve">Liczba wyeksponowanych </w:t>
            </w:r>
            <w:r w:rsidRPr="00E87A5F">
              <w:rPr>
                <w:rFonts w:ascii="Times New Roman" w:hAnsi="Times New Roman" w:cs="Times New Roman"/>
              </w:rPr>
              <w:lastRenderedPageBreak/>
              <w:t xml:space="preserve">atrakcji /obiektów turystycznych </w:t>
            </w:r>
            <w:r w:rsidR="002F2F77">
              <w:rPr>
                <w:rFonts w:ascii="Times New Roman" w:hAnsi="Times New Roman" w:cs="Times New Roman"/>
              </w:rPr>
              <w:t>–</w:t>
            </w:r>
            <w:r w:rsidRPr="00E87A5F">
              <w:rPr>
                <w:rFonts w:ascii="Times New Roman" w:hAnsi="Times New Roman" w:cs="Times New Roman"/>
              </w:rPr>
              <w:t xml:space="preserve"> 80</w:t>
            </w:r>
          </w:p>
          <w:p w:rsidR="002F2F77" w:rsidRDefault="002F2F77" w:rsidP="00067FD0">
            <w:pPr>
              <w:rPr>
                <w:rFonts w:ascii="Times New Roman" w:hAnsi="Times New Roman" w:cs="Times New Roman"/>
              </w:rPr>
            </w:pPr>
          </w:p>
          <w:p w:rsidR="002F2F77" w:rsidRPr="00E87A5F" w:rsidRDefault="002F2F77" w:rsidP="00067FD0">
            <w:pPr>
              <w:rPr>
                <w:rFonts w:ascii="Times New Roman" w:hAnsi="Times New Roman" w:cs="Times New Roman"/>
              </w:rPr>
            </w:pPr>
          </w:p>
        </w:tc>
        <w:tc>
          <w:tcPr>
            <w:tcW w:w="1752"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Liczba osób poinformowanyc</w:t>
            </w:r>
            <w:r w:rsidRPr="00E87A5F">
              <w:rPr>
                <w:rFonts w:ascii="Times New Roman" w:hAnsi="Times New Roman" w:cs="Times New Roman"/>
              </w:rPr>
              <w:lastRenderedPageBreak/>
              <w:t>h o atrakcjach turystycznych - 15000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Default="005F5E3C" w:rsidP="00067FD0">
            <w:pPr>
              <w:rPr>
                <w:rFonts w:ascii="Times New Roman" w:hAnsi="Times New Roman" w:cs="Times New Roman"/>
              </w:rPr>
            </w:pPr>
            <w:r w:rsidRPr="00E87A5F">
              <w:rPr>
                <w:rFonts w:ascii="Times New Roman" w:hAnsi="Times New Roman" w:cs="Times New Roman"/>
              </w:rPr>
              <w:t xml:space="preserve">Liczba rodzajów promocji </w:t>
            </w:r>
            <w:r w:rsidR="00C53C2F">
              <w:rPr>
                <w:rFonts w:ascii="Times New Roman" w:hAnsi="Times New Roman" w:cs="Times New Roman"/>
              </w:rPr>
              <w:t>–</w:t>
            </w:r>
            <w:r w:rsidRPr="00E87A5F">
              <w:rPr>
                <w:rFonts w:ascii="Times New Roman" w:hAnsi="Times New Roman" w:cs="Times New Roman"/>
              </w:rPr>
              <w:t xml:space="preserve"> 4</w:t>
            </w:r>
          </w:p>
          <w:p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31228876" wp14:editId="14D9D955">
                      <wp:simplePos x="0" y="0"/>
                      <wp:positionH relativeFrom="column">
                        <wp:posOffset>-60270</wp:posOffset>
                      </wp:positionH>
                      <wp:positionV relativeFrom="paragraph">
                        <wp:posOffset>40695</wp:posOffset>
                      </wp:positionV>
                      <wp:extent cx="1216025" cy="0"/>
                      <wp:effectExtent l="0" t="0" r="22225" b="19050"/>
                      <wp:wrapNone/>
                      <wp:docPr id="24" name="Łącznik prostoliniowy 24"/>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9EF6A2C" id="Łącznik prostoliniowy 24"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3.2pt" to="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" strokecolor="#4579b8 [3044]"/>
                  </w:pict>
                </mc:Fallback>
              </mc:AlternateContent>
            </w:r>
          </w:p>
          <w:p w:rsidR="00C53C2F" w:rsidRDefault="00C53C2F" w:rsidP="00067FD0">
            <w:pPr>
              <w:rPr>
                <w:rFonts w:ascii="Times New Roman" w:hAnsi="Times New Roman" w:cs="Times New Roman"/>
              </w:rPr>
            </w:pPr>
            <w:r>
              <w:rPr>
                <w:rFonts w:ascii="Times New Roman" w:hAnsi="Times New Roman" w:cs="Times New Roman"/>
              </w:rPr>
              <w:t>Liczba zrealizowanych konferencji partnerskich w ramach projektu międzynarodowego – 1</w:t>
            </w:r>
          </w:p>
          <w:p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047349C8" wp14:editId="55E21E19">
                      <wp:simplePos x="0" y="0"/>
                      <wp:positionH relativeFrom="column">
                        <wp:posOffset>-68221</wp:posOffset>
                      </wp:positionH>
                      <wp:positionV relativeFrom="paragraph">
                        <wp:posOffset>69933</wp:posOffset>
                      </wp:positionV>
                      <wp:extent cx="1232452" cy="0"/>
                      <wp:effectExtent l="0" t="0" r="25400" b="19050"/>
                      <wp:wrapNone/>
                      <wp:docPr id="25" name="Łącznik prostoliniowy 25"/>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4FA8CF8" id="Łącznik prostoliniowy 2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35pt,5.5pt" to="9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" strokecolor="#4579b8 [3044]"/>
                  </w:pict>
                </mc:Fallback>
              </mc:AlternateContent>
            </w:r>
          </w:p>
          <w:p w:rsidR="00C53C2F" w:rsidRDefault="00C53C2F" w:rsidP="00067FD0">
            <w:pPr>
              <w:rPr>
                <w:rFonts w:ascii="Times New Roman" w:hAnsi="Times New Roman" w:cs="Times New Roman"/>
              </w:rPr>
            </w:pPr>
            <w:r>
              <w:rPr>
                <w:rFonts w:ascii="Times New Roman" w:hAnsi="Times New Roman" w:cs="Times New Roman"/>
              </w:rPr>
              <w:t>Liczba zrealizowanych rodzajów wydawnictw w ramach projektu międzynarodowego – 4</w:t>
            </w:r>
          </w:p>
          <w:p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simplePos x="0" y="0"/>
                      <wp:positionH relativeFrom="column">
                        <wp:posOffset>-67779</wp:posOffset>
                      </wp:positionH>
                      <wp:positionV relativeFrom="paragraph">
                        <wp:posOffset>25096</wp:posOffset>
                      </wp:positionV>
                      <wp:extent cx="1231900" cy="0"/>
                      <wp:effectExtent l="0" t="0" r="25400" b="19050"/>
                      <wp:wrapNone/>
                      <wp:docPr id="26" name="Łącznik prostoliniowy 26"/>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4C76D65" id="Łącznik prostoliniowy 2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35pt,2pt" to="9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" strokecolor="#4579b8 [3044]"/>
                  </w:pict>
                </mc:Fallback>
              </mc:AlternateContent>
            </w:r>
          </w:p>
          <w:p w:rsidR="00C53C2F" w:rsidRDefault="00A60F76" w:rsidP="00067FD0">
            <w:pPr>
              <w:rPr>
                <w:rFonts w:ascii="Times New Roman" w:hAnsi="Times New Roman" w:cs="Times New Roman"/>
              </w:rPr>
            </w:pPr>
            <w:r>
              <w:rPr>
                <w:rFonts w:ascii="Times New Roman" w:hAnsi="Times New Roman" w:cs="Times New Roman"/>
              </w:rPr>
              <w:t>Liczba wizyt studyjnych u partnerów - 1</w:t>
            </w:r>
          </w:p>
          <w:p w:rsidR="00C53C2F" w:rsidRPr="00E87A5F" w:rsidRDefault="00C53C2F" w:rsidP="00067FD0">
            <w:pPr>
              <w:rPr>
                <w:rFonts w:ascii="Times New Roman" w:hAnsi="Times New Roman" w:cs="Times New Roman"/>
              </w:rPr>
            </w:pPr>
          </w:p>
        </w:tc>
        <w:tc>
          <w:tcPr>
            <w:tcW w:w="1752" w:type="dxa"/>
            <w:vMerge/>
            <w:tcBorders>
              <w:bottom w:val="single" w:sz="4" w:space="0" w:color="auto"/>
            </w:tcBorders>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Default="005F5E3C" w:rsidP="002F2F77">
            <w:pPr>
              <w:rPr>
                <w:rFonts w:ascii="Times New Roman" w:hAnsi="Times New Roman" w:cs="Times New Roman"/>
              </w:rPr>
            </w:pPr>
          </w:p>
          <w:p w:rsidR="00A60F76" w:rsidRDefault="00A60F76" w:rsidP="002F2F77">
            <w:pPr>
              <w:rPr>
                <w:rFonts w:ascii="Times New Roman" w:hAnsi="Times New Roman" w:cs="Times New Roman"/>
              </w:rPr>
            </w:pPr>
            <w:r>
              <w:rPr>
                <w:rFonts w:ascii="Times New Roman" w:hAnsi="Times New Roman" w:cs="Times New Roman"/>
              </w:rPr>
              <w:t>Liczba zrealizowanych konferencji pn. Marka Lokalna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simplePos x="0" y="0"/>
                      <wp:positionH relativeFrom="column">
                        <wp:posOffset>-67779</wp:posOffset>
                      </wp:positionH>
                      <wp:positionV relativeFrom="paragraph">
                        <wp:posOffset>99695</wp:posOffset>
                      </wp:positionV>
                      <wp:extent cx="1231900" cy="0"/>
                      <wp:effectExtent l="0" t="0" r="25400" b="19050"/>
                      <wp:wrapNone/>
                      <wp:docPr id="27" name="Łącznik prostoliniowy 27"/>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578E557" id="Łącznik prostoliniowy 27"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35pt,7.85pt" to="9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szkoleń dot. metod pracy z potencjalnymi uczestnikami marki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simplePos x="0" y="0"/>
                      <wp:positionH relativeFrom="column">
                        <wp:posOffset>-67779</wp:posOffset>
                      </wp:positionH>
                      <wp:positionV relativeFrom="paragraph">
                        <wp:posOffset>18360</wp:posOffset>
                      </wp:positionV>
                      <wp:extent cx="1231900" cy="0"/>
                      <wp:effectExtent l="0" t="0" r="25400" b="19050"/>
                      <wp:wrapNone/>
                      <wp:docPr id="28" name="Łącznik prostoliniowy 28"/>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0AD3793" id="Łącznik prostoliniowy 2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35pt,1.45pt" to="9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 xml:space="preserve">Liczba </w:t>
            </w:r>
            <w:r>
              <w:rPr>
                <w:rFonts w:ascii="Times New Roman" w:hAnsi="Times New Roman" w:cs="Times New Roman"/>
              </w:rPr>
              <w:lastRenderedPageBreak/>
              <w:t>szkoleń/spotkań dot. marki - 3</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184" behindDoc="0" locked="0" layoutInCell="1" allowOverlap="1">
                      <wp:simplePos x="0" y="0"/>
                      <wp:positionH relativeFrom="column">
                        <wp:posOffset>-67780</wp:posOffset>
                      </wp:positionH>
                      <wp:positionV relativeFrom="paragraph">
                        <wp:posOffset>71562</wp:posOffset>
                      </wp:positionV>
                      <wp:extent cx="1264257" cy="0"/>
                      <wp:effectExtent l="0" t="0" r="12700" b="19050"/>
                      <wp:wrapNone/>
                      <wp:docPr id="29" name="Łącznik prostoliniowy 29"/>
                      <wp:cNvGraphicFramePr/>
                      <a:graphic xmlns:a="http://schemas.openxmlformats.org/drawingml/2006/main">
                        <a:graphicData uri="http://schemas.microsoft.com/office/word/2010/wordprocessingShape">
                          <wps:wsp>
                            <wps:cNvCnPr/>
                            <wps:spPr>
                              <a:xfrm>
                                <a:off x="0" y="0"/>
                                <a:ext cx="12642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E923A60" id="Łącznik prostoliniowy 2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35pt,5.65pt" to="9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spotkań dot. wymiany doświadczeń - 3</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208" behindDoc="0" locked="0" layoutInCell="1" allowOverlap="1">
                      <wp:simplePos x="0" y="0"/>
                      <wp:positionH relativeFrom="column">
                        <wp:posOffset>-67779</wp:posOffset>
                      </wp:positionH>
                      <wp:positionV relativeFrom="paragraph">
                        <wp:posOffset>72997</wp:posOffset>
                      </wp:positionV>
                      <wp:extent cx="1263650" cy="0"/>
                      <wp:effectExtent l="0" t="0" r="12700" b="19050"/>
                      <wp:wrapNone/>
                      <wp:docPr id="30" name="Łącznik prostoliniowy 30"/>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C000564" id="Łącznik prostoliniowy 30"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5.75pt" to="94.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 xml:space="preserve">Opracowanie strategii wprowadzenia na rynek marki lokalnej - 1 </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232" behindDoc="0" locked="0" layoutInCell="1" allowOverlap="1">
                      <wp:simplePos x="0" y="0"/>
                      <wp:positionH relativeFrom="column">
                        <wp:posOffset>-67779</wp:posOffset>
                      </wp:positionH>
                      <wp:positionV relativeFrom="paragraph">
                        <wp:posOffset>23467</wp:posOffset>
                      </wp:positionV>
                      <wp:extent cx="1263650" cy="0"/>
                      <wp:effectExtent l="0" t="0" r="12700" b="19050"/>
                      <wp:wrapNone/>
                      <wp:docPr id="31" name="Łącznik prostoliniowy 31"/>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E97808" id="Łącznik prostoliniowy 31"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1.85pt" to="9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UUxA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wypracowanych marek lokalnych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256" behindDoc="0" locked="0" layoutInCell="1" allowOverlap="1">
                      <wp:simplePos x="0" y="0"/>
                      <wp:positionH relativeFrom="column">
                        <wp:posOffset>-67779</wp:posOffset>
                      </wp:positionH>
                      <wp:positionV relativeFrom="paragraph">
                        <wp:posOffset>88513</wp:posOffset>
                      </wp:positionV>
                      <wp:extent cx="1263650" cy="0"/>
                      <wp:effectExtent l="0" t="0" r="12700" b="19050"/>
                      <wp:wrapNone/>
                      <wp:docPr id="32" name="Łącznik prostoliniowy 32"/>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06E640" id="Łącznik prostoliniowy 32"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6.95pt" to="9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NxQ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zrealizowanych rodzajów wydawnictw i promocji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280" behindDoc="0" locked="0" layoutInCell="1" allowOverlap="1">
                      <wp:simplePos x="0" y="0"/>
                      <wp:positionH relativeFrom="column">
                        <wp:posOffset>-67779</wp:posOffset>
                      </wp:positionH>
                      <wp:positionV relativeFrom="paragraph">
                        <wp:posOffset>62837</wp:posOffset>
                      </wp:positionV>
                      <wp:extent cx="1263650" cy="0"/>
                      <wp:effectExtent l="0" t="0" r="12700" b="19050"/>
                      <wp:wrapNone/>
                      <wp:docPr id="33" name="Łącznik prostoliniowy 33"/>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236CE6C" id="Łącznik prostoliniowy 3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35pt,4.95pt" to="94.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zrealizowanych wizyt studyjnych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304" behindDoc="0" locked="0" layoutInCell="1" allowOverlap="1">
                      <wp:simplePos x="0" y="0"/>
                      <wp:positionH relativeFrom="column">
                        <wp:posOffset>-67779</wp:posOffset>
                      </wp:positionH>
                      <wp:positionV relativeFrom="paragraph">
                        <wp:posOffset>-331</wp:posOffset>
                      </wp:positionV>
                      <wp:extent cx="1263650" cy="0"/>
                      <wp:effectExtent l="0" t="0" r="12700" b="19050"/>
                      <wp:wrapNone/>
                      <wp:docPr id="34" name="Łącznik prostoliniowy 34"/>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5DC149F" id="Łącznik prostoliniowy 3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35pt,-.05pt" to="9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Powstanie szlaku kulinarnego Koszyk Dolnośląskich Smaków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328" behindDoc="0" locked="0" layoutInCell="1" allowOverlap="1">
                      <wp:simplePos x="0" y="0"/>
                      <wp:positionH relativeFrom="column">
                        <wp:posOffset>-67779</wp:posOffset>
                      </wp:positionH>
                      <wp:positionV relativeFrom="paragraph">
                        <wp:posOffset>93262</wp:posOffset>
                      </wp:positionV>
                      <wp:extent cx="1263650" cy="0"/>
                      <wp:effectExtent l="0" t="0" r="12700" b="19050"/>
                      <wp:wrapNone/>
                      <wp:docPr id="35" name="Łącznik prostoliniowy 35"/>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F3BC85D" id="Łącznik prostoliniowy 3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35pt,7.35pt" to="94.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Kampania promocyjna kulinarnego szlaku Koszyk Dolnośląskich Smaków - 1</w:t>
            </w:r>
          </w:p>
          <w:p w:rsidR="00A60F76" w:rsidRPr="00E87A5F" w:rsidRDefault="00A60F76" w:rsidP="002F2F77">
            <w:pPr>
              <w:rPr>
                <w:rFonts w:ascii="Times New Roman" w:hAnsi="Times New Roman" w:cs="Times New Roman"/>
              </w:rPr>
            </w:pPr>
          </w:p>
        </w:tc>
        <w:tc>
          <w:tcPr>
            <w:tcW w:w="1752" w:type="dxa"/>
            <w:tcBorders>
              <w:top w:val="single" w:sz="4" w:space="0" w:color="auto"/>
            </w:tcBorders>
          </w:tcPr>
          <w:p w:rsidR="005F5E3C" w:rsidRPr="00E87A5F" w:rsidRDefault="002F2F77" w:rsidP="00067FD0">
            <w:pPr>
              <w:rPr>
                <w:rFonts w:ascii="Times New Roman" w:hAnsi="Times New Roman" w:cs="Times New Roman"/>
              </w:rPr>
            </w:pPr>
            <w:r w:rsidRPr="002F2F77">
              <w:rPr>
                <w:rFonts w:ascii="Times New Roman" w:hAnsi="Times New Roman" w:cs="Times New Roman"/>
              </w:rPr>
              <w:lastRenderedPageBreak/>
              <w:t>Liczba osób korzystających z efektów real</w:t>
            </w:r>
            <w:r w:rsidR="00A60F76">
              <w:rPr>
                <w:rFonts w:ascii="Times New Roman" w:hAnsi="Times New Roman" w:cs="Times New Roman"/>
              </w:rPr>
              <w:t>izacji projektów współpracy - 102</w:t>
            </w:r>
            <w:r w:rsidRPr="002F2F77">
              <w:rPr>
                <w:rFonts w:ascii="Times New Roman" w:hAnsi="Times New Roman" w:cs="Times New Roman"/>
              </w:rPr>
              <w:t>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1.1.4. Zachowanie dziedzictwa kulturowego i przyrodniczego</w:t>
            </w: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obiektów zabytkowych poddanych remontom, konserwacji, rewitalizacji- 4</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 korzystających z obiektów zabytkowych poddanych remontom, konserwacji, rewitalizacji - 4000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miejsc prezentacji produktów lokalnych i dziedzictwa historycznego - 6</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- 3000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miejsc odtwarzania i rewitalizacji krajobrazu kulturowego wsi – 10</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mieszkańców miejscowości, którzy skorzystali z miejsc odtwarzania i rewitalizacji </w:t>
            </w:r>
            <w:r w:rsidR="002F2F77">
              <w:rPr>
                <w:rFonts w:ascii="Times New Roman" w:hAnsi="Times New Roman" w:cs="Times New Roman"/>
              </w:rPr>
              <w:t>krajobrazu kulturowego wsi - 3000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rPr>
          <w:trHeight w:val="2292"/>
        </w:trPr>
        <w:tc>
          <w:tcPr>
            <w:tcW w:w="2734" w:type="dxa"/>
            <w:vMerge w:val="restart"/>
          </w:tcPr>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Niewystarczająca  aktywność społeczna mieszkańców </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pozyskujących </w:t>
            </w:r>
            <w:r w:rsidRPr="00E87A5F">
              <w:rPr>
                <w:rFonts w:ascii="Times New Roman" w:hAnsi="Times New Roman" w:cs="Times New Roman"/>
              </w:rPr>
              <w:lastRenderedPageBreak/>
              <w:t>środki</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Odchodzenie od wielokulturowych tradycji</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Niski poziom zaangażowania mieszkańców w decyzje w gminach i sołectwach</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 xml:space="preserve">Mała liczba osób młodych angażujących się w prace </w:t>
            </w:r>
            <w:proofErr w:type="spellStart"/>
            <w:r w:rsidRPr="00E87A5F">
              <w:rPr>
                <w:rFonts w:ascii="Times New Roman" w:hAnsi="Times New Roman" w:cs="Times New Roman"/>
              </w:rPr>
              <w:t>ngo</w:t>
            </w:r>
            <w:proofErr w:type="spellEnd"/>
          </w:p>
          <w:p w:rsidR="00431866" w:rsidRPr="00E87A5F" w:rsidRDefault="00431866" w:rsidP="00067FD0">
            <w:pPr>
              <w:ind w:left="720"/>
              <w:rPr>
                <w:rFonts w:ascii="Times New Roman" w:hAnsi="Times New Roman" w:cs="Times New Roman"/>
              </w:rPr>
            </w:pPr>
          </w:p>
          <w:p w:rsidR="00431866" w:rsidRPr="00E87A5F" w:rsidRDefault="00431866" w:rsidP="00067FD0">
            <w:pPr>
              <w:rPr>
                <w:rFonts w:ascii="Times New Roman" w:hAnsi="Times New Roman" w:cs="Times New Roman"/>
              </w:rPr>
            </w:pPr>
          </w:p>
        </w:tc>
        <w:tc>
          <w:tcPr>
            <w:tcW w:w="1647" w:type="dxa"/>
            <w:vMerge/>
          </w:tcPr>
          <w:p w:rsidR="00431866" w:rsidRPr="00E87A5F" w:rsidRDefault="00431866" w:rsidP="00067FD0">
            <w:pPr>
              <w:rPr>
                <w:rFonts w:ascii="Times New Roman" w:hAnsi="Times New Roman" w:cs="Times New Roman"/>
              </w:rPr>
            </w:pPr>
          </w:p>
        </w:tc>
        <w:tc>
          <w:tcPr>
            <w:tcW w:w="1787" w:type="dxa"/>
            <w:vMerge w:val="restart"/>
          </w:tcPr>
          <w:p w:rsidR="00431866" w:rsidRPr="00E87A5F" w:rsidRDefault="00431866" w:rsidP="00067FD0">
            <w:pPr>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1878" w:type="dxa"/>
          </w:tcPr>
          <w:p w:rsidR="00431866" w:rsidRPr="00E87A5F" w:rsidRDefault="00431866" w:rsidP="00067FD0">
            <w:pPr>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1985" w:type="dxa"/>
          </w:tcPr>
          <w:p w:rsidR="00431866" w:rsidRPr="00E87A5F" w:rsidRDefault="000F5DAD" w:rsidP="00431866">
            <w:pPr>
              <w:rPr>
                <w:rFonts w:ascii="Times New Roman" w:hAnsi="Times New Roman" w:cs="Times New Roman"/>
              </w:rPr>
            </w:pPr>
            <w:r w:rsidRPr="000F5DAD">
              <w:rPr>
                <w:rFonts w:ascii="Times New Roman" w:hAnsi="Times New Roman" w:cs="Times New Roman"/>
              </w:rPr>
              <w:t>Liczba powierzonych grantów</w:t>
            </w:r>
            <w:r w:rsidR="00431866">
              <w:rPr>
                <w:rFonts w:ascii="Times New Roman" w:hAnsi="Times New Roman" w:cs="Times New Roman"/>
              </w:rPr>
              <w:t xml:space="preserve"> - 48</w:t>
            </w:r>
          </w:p>
        </w:tc>
        <w:tc>
          <w:tcPr>
            <w:tcW w:w="1752" w:type="dxa"/>
          </w:tcPr>
          <w:p w:rsidR="00431866" w:rsidRPr="00E87A5F" w:rsidRDefault="00431866" w:rsidP="008C4984">
            <w:pPr>
              <w:rPr>
                <w:rFonts w:ascii="Times New Roman" w:hAnsi="Times New Roman" w:cs="Times New Roman"/>
              </w:rPr>
            </w:pPr>
            <w:r w:rsidRPr="00E87A5F">
              <w:rPr>
                <w:rFonts w:ascii="Times New Roman" w:hAnsi="Times New Roman" w:cs="Times New Roman"/>
              </w:rPr>
              <w:t>Liczba osób uczestniczących</w:t>
            </w:r>
            <w:r>
              <w:rPr>
                <w:rFonts w:ascii="Times New Roman" w:hAnsi="Times New Roman" w:cs="Times New Roman"/>
              </w:rPr>
              <w:t xml:space="preserve"> w </w:t>
            </w:r>
            <w:r w:rsidR="008C4984">
              <w:rPr>
                <w:rFonts w:ascii="Times New Roman" w:hAnsi="Times New Roman" w:cs="Times New Roman"/>
              </w:rPr>
              <w:t>projektach grantowych</w:t>
            </w:r>
            <w:r>
              <w:rPr>
                <w:rFonts w:ascii="Times New Roman" w:hAnsi="Times New Roman" w:cs="Times New Roman"/>
              </w:rPr>
              <w:t xml:space="preserve"> - 7</w:t>
            </w:r>
            <w:r w:rsidRPr="00E87A5F">
              <w:rPr>
                <w:rFonts w:ascii="Times New Roman" w:hAnsi="Times New Roman" w:cs="Times New Roman"/>
              </w:rPr>
              <w:t>40</w:t>
            </w:r>
          </w:p>
        </w:tc>
        <w:tc>
          <w:tcPr>
            <w:tcW w:w="1996" w:type="dxa"/>
            <w:vMerge/>
          </w:tcPr>
          <w:p w:rsidR="00431866" w:rsidRPr="00E87A5F" w:rsidRDefault="00431866" w:rsidP="00067FD0">
            <w:pPr>
              <w:rPr>
                <w:rFonts w:ascii="Times New Roman" w:hAnsi="Times New Roman" w:cs="Times New Roman"/>
              </w:rPr>
            </w:pPr>
          </w:p>
        </w:tc>
        <w:tc>
          <w:tcPr>
            <w:tcW w:w="1740" w:type="dxa"/>
            <w:vMerge w:val="restart"/>
          </w:tcPr>
          <w:p w:rsidR="00431866" w:rsidRPr="00E87A5F" w:rsidRDefault="00431866" w:rsidP="00067FD0">
            <w:pPr>
              <w:rPr>
                <w:rFonts w:ascii="Times New Roman" w:hAnsi="Times New Roman" w:cs="Times New Roman"/>
              </w:rPr>
            </w:pPr>
            <w:r w:rsidRPr="00E87A5F">
              <w:rPr>
                <w:rFonts w:ascii="Times New Roman" w:hAnsi="Times New Roman" w:cs="Times New Roman"/>
              </w:rPr>
              <w:t xml:space="preserve">(+) duże zainteresowanie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dotacjami</w:t>
            </w:r>
          </w:p>
          <w:p w:rsidR="00431866" w:rsidRPr="00E87A5F" w:rsidRDefault="00431866" w:rsidP="00067FD0">
            <w:pPr>
              <w:rPr>
                <w:rFonts w:ascii="Times New Roman" w:hAnsi="Times New Roman" w:cs="Times New Roman"/>
              </w:rPr>
            </w:pPr>
            <w:r w:rsidRPr="00E87A5F">
              <w:rPr>
                <w:rFonts w:ascii="Times New Roman" w:hAnsi="Times New Roman" w:cs="Times New Roman"/>
              </w:rPr>
              <w:t>(-) ryzyko nie wywiązania się z umowy przyznania pomocy</w:t>
            </w: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1.2.2. </w:t>
            </w:r>
            <w:r w:rsidRPr="00E87A5F">
              <w:rPr>
                <w:rFonts w:ascii="Times New Roman" w:hAnsi="Times New Roman" w:cs="Times New Roman"/>
              </w:rPr>
              <w:lastRenderedPageBreak/>
              <w:t>Funkcjonowanie LGD oraz włączenie mieszkańców we wdrażanie LSR</w:t>
            </w: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 xml:space="preserve">Liczba osobodni </w:t>
            </w:r>
            <w:r w:rsidRPr="00E87A5F">
              <w:rPr>
                <w:rFonts w:ascii="Times New Roman" w:hAnsi="Times New Roman" w:cs="Times New Roman"/>
              </w:rPr>
              <w:lastRenderedPageBreak/>
              <w:t>szkoleń dla pracowników LGD - 100</w:t>
            </w:r>
          </w:p>
        </w:tc>
        <w:tc>
          <w:tcPr>
            <w:tcW w:w="1752"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 xml:space="preserve">Liczba osób </w:t>
            </w:r>
            <w:r w:rsidRPr="00E87A5F">
              <w:rPr>
                <w:rFonts w:ascii="Times New Roman" w:hAnsi="Times New Roman" w:cs="Times New Roman"/>
              </w:rPr>
              <w:lastRenderedPageBreak/>
              <w:t xml:space="preserve">uczestniczących w spotkaniach , szkoleniach </w:t>
            </w:r>
            <w:proofErr w:type="spellStart"/>
            <w:r w:rsidRPr="00E87A5F">
              <w:rPr>
                <w:rFonts w:ascii="Times New Roman" w:hAnsi="Times New Roman" w:cs="Times New Roman"/>
              </w:rPr>
              <w:t>informacyjno</w:t>
            </w:r>
            <w:proofErr w:type="spellEnd"/>
            <w:r w:rsidRPr="00E87A5F">
              <w:rPr>
                <w:rFonts w:ascii="Times New Roman" w:hAnsi="Times New Roman" w:cs="Times New Roman"/>
              </w:rPr>
              <w:t xml:space="preserve"> – konsultacyjnych – 400</w:t>
            </w: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osobodni szkoleń dla organów LGD - 400</w:t>
            </w: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osób/podmiotów, którym udzielono indywidualnego doradztwa - 500</w:t>
            </w: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spotkań informacyjno-konsultacyjnych LGD z mieszkańcami – 40</w:t>
            </w: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wydarzeń promocyjnych, na których promowano działalność LGD i obszar LSR - 10</w:t>
            </w:r>
          </w:p>
        </w:tc>
        <w:tc>
          <w:tcPr>
            <w:tcW w:w="1752"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odbiorców promocji LGD i LSR - 5000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stron internetowych  LGD - 1</w:t>
            </w: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99059B" w:rsidRPr="00E87A5F" w:rsidRDefault="0099059B" w:rsidP="00067FD0">
            <w:pPr>
              <w:rPr>
                <w:rFonts w:ascii="Times New Roman" w:hAnsi="Times New Roman" w:cs="Times New Roman"/>
              </w:rPr>
            </w:pPr>
          </w:p>
        </w:tc>
        <w:tc>
          <w:tcPr>
            <w:tcW w:w="1647" w:type="dxa"/>
            <w:vMerge/>
          </w:tcPr>
          <w:p w:rsidR="0099059B" w:rsidRPr="00E87A5F" w:rsidRDefault="0099059B" w:rsidP="00067FD0">
            <w:pPr>
              <w:rPr>
                <w:rFonts w:ascii="Times New Roman" w:hAnsi="Times New Roman" w:cs="Times New Roman"/>
              </w:rPr>
            </w:pPr>
          </w:p>
        </w:tc>
        <w:tc>
          <w:tcPr>
            <w:tcW w:w="1787" w:type="dxa"/>
            <w:vMerge/>
          </w:tcPr>
          <w:p w:rsidR="0099059B" w:rsidRPr="00E87A5F" w:rsidRDefault="0099059B" w:rsidP="00067FD0">
            <w:pPr>
              <w:rPr>
                <w:rFonts w:ascii="Times New Roman" w:hAnsi="Times New Roman" w:cs="Times New Roman"/>
              </w:rPr>
            </w:pPr>
          </w:p>
        </w:tc>
        <w:tc>
          <w:tcPr>
            <w:tcW w:w="1878" w:type="dxa"/>
            <w:vMerge/>
          </w:tcPr>
          <w:p w:rsidR="0099059B" w:rsidRPr="00E87A5F" w:rsidRDefault="0099059B" w:rsidP="00067FD0">
            <w:pPr>
              <w:rPr>
                <w:rFonts w:ascii="Times New Roman" w:hAnsi="Times New Roman" w:cs="Times New Roman"/>
              </w:rPr>
            </w:pPr>
          </w:p>
        </w:tc>
        <w:tc>
          <w:tcPr>
            <w:tcW w:w="1985" w:type="dxa"/>
          </w:tcPr>
          <w:p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ogłoszeń w lokalnych mediach- 15</w:t>
            </w:r>
          </w:p>
        </w:tc>
        <w:tc>
          <w:tcPr>
            <w:tcW w:w="1752" w:type="dxa"/>
            <w:vMerge/>
          </w:tcPr>
          <w:p w:rsidR="0099059B" w:rsidRPr="00E87A5F" w:rsidRDefault="0099059B" w:rsidP="00067FD0">
            <w:pPr>
              <w:rPr>
                <w:rFonts w:ascii="Times New Roman" w:hAnsi="Times New Roman" w:cs="Times New Roman"/>
              </w:rPr>
            </w:pPr>
          </w:p>
        </w:tc>
        <w:tc>
          <w:tcPr>
            <w:tcW w:w="1996" w:type="dxa"/>
            <w:vMerge/>
          </w:tcPr>
          <w:p w:rsidR="0099059B" w:rsidRPr="00E87A5F" w:rsidRDefault="0099059B" w:rsidP="00067FD0">
            <w:pPr>
              <w:rPr>
                <w:rFonts w:ascii="Times New Roman" w:hAnsi="Times New Roman" w:cs="Times New Roman"/>
              </w:rPr>
            </w:pPr>
          </w:p>
        </w:tc>
        <w:tc>
          <w:tcPr>
            <w:tcW w:w="1740" w:type="dxa"/>
            <w:vMerge/>
          </w:tcPr>
          <w:p w:rsidR="0099059B" w:rsidRPr="00E87A5F" w:rsidRDefault="0099059B" w:rsidP="00067FD0">
            <w:pPr>
              <w:rPr>
                <w:rFonts w:ascii="Times New Roman" w:hAnsi="Times New Roman" w:cs="Times New Roman"/>
              </w:rPr>
            </w:pPr>
          </w:p>
        </w:tc>
      </w:tr>
      <w:tr w:rsidR="00431866" w:rsidRPr="00E87A5F" w:rsidTr="00C53C2F">
        <w:tc>
          <w:tcPr>
            <w:tcW w:w="2734" w:type="dxa"/>
            <w:vMerge/>
          </w:tcPr>
          <w:p w:rsidR="0099059B" w:rsidRPr="00E87A5F" w:rsidRDefault="0099059B" w:rsidP="00067FD0">
            <w:pPr>
              <w:rPr>
                <w:rFonts w:ascii="Times New Roman" w:hAnsi="Times New Roman" w:cs="Times New Roman"/>
              </w:rPr>
            </w:pPr>
          </w:p>
        </w:tc>
        <w:tc>
          <w:tcPr>
            <w:tcW w:w="1647" w:type="dxa"/>
            <w:vMerge/>
          </w:tcPr>
          <w:p w:rsidR="0099059B" w:rsidRPr="00E87A5F" w:rsidRDefault="0099059B" w:rsidP="00067FD0">
            <w:pPr>
              <w:rPr>
                <w:rFonts w:ascii="Times New Roman" w:hAnsi="Times New Roman" w:cs="Times New Roman"/>
              </w:rPr>
            </w:pPr>
          </w:p>
        </w:tc>
        <w:tc>
          <w:tcPr>
            <w:tcW w:w="1787" w:type="dxa"/>
            <w:vMerge/>
          </w:tcPr>
          <w:p w:rsidR="0099059B" w:rsidRPr="00E87A5F" w:rsidRDefault="0099059B" w:rsidP="00067FD0">
            <w:pPr>
              <w:rPr>
                <w:rFonts w:ascii="Times New Roman" w:hAnsi="Times New Roman" w:cs="Times New Roman"/>
              </w:rPr>
            </w:pPr>
          </w:p>
        </w:tc>
        <w:tc>
          <w:tcPr>
            <w:tcW w:w="1878" w:type="dxa"/>
            <w:vMerge/>
          </w:tcPr>
          <w:p w:rsidR="0099059B" w:rsidRPr="00E87A5F" w:rsidRDefault="0099059B" w:rsidP="00067FD0">
            <w:pPr>
              <w:rPr>
                <w:rFonts w:ascii="Times New Roman" w:hAnsi="Times New Roman" w:cs="Times New Roman"/>
              </w:rPr>
            </w:pPr>
          </w:p>
        </w:tc>
        <w:tc>
          <w:tcPr>
            <w:tcW w:w="1985" w:type="dxa"/>
          </w:tcPr>
          <w:p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rodzajów wydanych materiałów</w:t>
            </w:r>
            <w:r w:rsidRPr="0099059B">
              <w:rPr>
                <w:rFonts w:ascii="Times New Roman" w:eastAsia="Calibri" w:hAnsi="Times New Roman" w:cs="Times New Roman"/>
                <w:strike/>
              </w:rPr>
              <w:t xml:space="preserve"> </w:t>
            </w:r>
            <w:r w:rsidRPr="0099059B">
              <w:rPr>
                <w:rFonts w:ascii="Times New Roman" w:eastAsia="Calibri" w:hAnsi="Times New Roman" w:cs="Times New Roman"/>
              </w:rPr>
              <w:t xml:space="preserve"> informacyjno-promocyjnych m.in. (plakaty, Głos Leadera, biuletyn, broszura ) -19</w:t>
            </w:r>
          </w:p>
        </w:tc>
        <w:tc>
          <w:tcPr>
            <w:tcW w:w="1752" w:type="dxa"/>
            <w:vMerge/>
          </w:tcPr>
          <w:p w:rsidR="0099059B" w:rsidRPr="00E87A5F" w:rsidRDefault="0099059B" w:rsidP="00067FD0">
            <w:pPr>
              <w:rPr>
                <w:rFonts w:ascii="Times New Roman" w:hAnsi="Times New Roman" w:cs="Times New Roman"/>
              </w:rPr>
            </w:pPr>
          </w:p>
        </w:tc>
        <w:tc>
          <w:tcPr>
            <w:tcW w:w="1996" w:type="dxa"/>
            <w:vMerge/>
          </w:tcPr>
          <w:p w:rsidR="0099059B" w:rsidRPr="00E87A5F" w:rsidRDefault="0099059B" w:rsidP="00067FD0">
            <w:pPr>
              <w:rPr>
                <w:rFonts w:ascii="Times New Roman" w:hAnsi="Times New Roman" w:cs="Times New Roman"/>
              </w:rPr>
            </w:pPr>
          </w:p>
        </w:tc>
        <w:tc>
          <w:tcPr>
            <w:tcW w:w="1740" w:type="dxa"/>
            <w:vMerge/>
          </w:tcPr>
          <w:p w:rsidR="0099059B" w:rsidRPr="00E87A5F" w:rsidRDefault="0099059B"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miesięcy </w:t>
            </w:r>
          </w:p>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funkcjonowania biura w tym: </w:t>
            </w:r>
            <w:r w:rsidRPr="00E87A5F">
              <w:rPr>
                <w:rFonts w:ascii="Times New Roman" w:hAnsi="Times New Roman" w:cs="Times New Roman"/>
              </w:rPr>
              <w:lastRenderedPageBreak/>
              <w:t xml:space="preserve">zatrudnienie </w:t>
            </w:r>
          </w:p>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pracowników oraz usługi i zadania związane  z pracą </w:t>
            </w:r>
          </w:p>
          <w:p w:rsidR="005F5E3C" w:rsidRPr="00E87A5F" w:rsidRDefault="005F5E3C" w:rsidP="00067FD0">
            <w:pPr>
              <w:rPr>
                <w:rFonts w:ascii="Times New Roman" w:hAnsi="Times New Roman" w:cs="Times New Roman"/>
              </w:rPr>
            </w:pPr>
            <w:r w:rsidRPr="00E87A5F">
              <w:rPr>
                <w:rFonts w:ascii="Times New Roman" w:hAnsi="Times New Roman" w:cs="Times New Roman"/>
              </w:rPr>
              <w:t>biura i realizacją LSR – 86</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Procent realizacja strategii – 100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val="restart"/>
          </w:tcPr>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lastRenderedPageBreak/>
              <w:t>Trudne warunki przyrodniczo - glebowe dla rolnictwa</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Niewystarczająco rozwinięta branża turystyczno- gastronomiczna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Kształcenie zawodowe słabo powiązane z rynkiem pracy</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Niedostateczna ilość miejsc pracy na lokalnym rynku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Niska zamożność lokalnej społeczności i niskie płace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Migracja osób w poszukiwaniu lepszych warunków życia</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Duży odsetek osób </w:t>
            </w:r>
            <w:r w:rsidRPr="00E87A5F">
              <w:rPr>
                <w:rFonts w:ascii="Times New Roman" w:hAnsi="Times New Roman" w:cs="Times New Roman"/>
              </w:rPr>
              <w:lastRenderedPageBreak/>
              <w:t>korzystających z pomocy społecznej</w:t>
            </w:r>
          </w:p>
          <w:p w:rsidR="005F5E3C" w:rsidRPr="00E87A5F" w:rsidRDefault="005F5E3C" w:rsidP="005F5E3C">
            <w:pPr>
              <w:pStyle w:val="Akapitzlist"/>
              <w:numPr>
                <w:ilvl w:val="0"/>
                <w:numId w:val="18"/>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Bariery mentalne przed podejmowaniem działalności przez osoby bezrobotne</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Słabo rozwinięte usługi dla seniorów</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Niższy poziom przedsiębiorczości w porównaniu ze wskaźnikami wojewódzkimi</w:t>
            </w:r>
          </w:p>
        </w:tc>
        <w:tc>
          <w:tcPr>
            <w:tcW w:w="1647" w:type="dxa"/>
            <w:vMerge/>
          </w:tcPr>
          <w:p w:rsidR="005F5E3C" w:rsidRPr="00E87A5F" w:rsidRDefault="005F5E3C" w:rsidP="00067FD0">
            <w:pPr>
              <w:rPr>
                <w:rFonts w:ascii="Times New Roman" w:hAnsi="Times New Roman" w:cs="Times New Roman"/>
              </w:rPr>
            </w:pPr>
          </w:p>
        </w:tc>
        <w:tc>
          <w:tcPr>
            <w:tcW w:w="1787"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187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nowo utworzonych fir</w:t>
            </w:r>
            <w:r w:rsidR="00CC2618">
              <w:rPr>
                <w:rFonts w:ascii="Times New Roman" w:hAnsi="Times New Roman" w:cs="Times New Roman"/>
              </w:rPr>
              <w:t xml:space="preserve">m w tym przez osoby z grupy </w:t>
            </w:r>
            <w:proofErr w:type="spellStart"/>
            <w:r w:rsidR="00CC2618">
              <w:rPr>
                <w:rFonts w:ascii="Times New Roman" w:hAnsi="Times New Roman" w:cs="Times New Roman"/>
              </w:rPr>
              <w:t>defowaryzowanej</w:t>
            </w:r>
            <w:proofErr w:type="spellEnd"/>
            <w:r w:rsidR="00CC2618">
              <w:rPr>
                <w:rFonts w:ascii="Times New Roman" w:hAnsi="Times New Roman" w:cs="Times New Roman"/>
              </w:rPr>
              <w:t>– 24</w:t>
            </w:r>
          </w:p>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t>
            </w:r>
          </w:p>
        </w:tc>
        <w:tc>
          <w:tcPr>
            <w:tcW w:w="1752"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miejsc pracy - 32</w:t>
            </w:r>
          </w:p>
        </w:tc>
        <w:tc>
          <w:tcPr>
            <w:tcW w:w="1996" w:type="dxa"/>
            <w:vMerge/>
          </w:tcPr>
          <w:p w:rsidR="005F5E3C" w:rsidRPr="00E87A5F" w:rsidRDefault="005F5E3C" w:rsidP="00067FD0">
            <w:pPr>
              <w:rPr>
                <w:rFonts w:ascii="Times New Roman" w:hAnsi="Times New Roman" w:cs="Times New Roman"/>
              </w:rPr>
            </w:pPr>
          </w:p>
        </w:tc>
        <w:tc>
          <w:tcPr>
            <w:tcW w:w="1740"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 atrakcyjna forma wsparcia dla osób chcących uruchomić i rozwinąć działalność gospodarczą</w:t>
            </w:r>
          </w:p>
          <w:p w:rsidR="005F5E3C" w:rsidRPr="00E87A5F" w:rsidRDefault="005F5E3C" w:rsidP="00067FD0">
            <w:pPr>
              <w:rPr>
                <w:rFonts w:ascii="Times New Roman" w:hAnsi="Times New Roman" w:cs="Times New Roman"/>
              </w:rPr>
            </w:pPr>
            <w:r w:rsidRPr="00E87A5F">
              <w:rPr>
                <w:rFonts w:ascii="Times New Roman" w:hAnsi="Times New Roman" w:cs="Times New Roman"/>
              </w:rPr>
              <w:t>(-) trudny rodzaj beneficjentów do których w szczególności kierowane jest wsparcie, czyli osoby zagrożone wykluczeniem społecznym</w:t>
            </w: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1.3.2. Rozwijanie podmiotów gospodarczych w </w:t>
            </w:r>
            <w:r w:rsidR="0099059B">
              <w:rPr>
                <w:rFonts w:ascii="Times New Roman" w:hAnsi="Times New Roman" w:cs="Times New Roman"/>
              </w:rPr>
              <w:t xml:space="preserve">tym w </w:t>
            </w:r>
            <w:r w:rsidRPr="00E87A5F">
              <w:rPr>
                <w:rFonts w:ascii="Times New Roman" w:hAnsi="Times New Roman" w:cs="Times New Roman"/>
              </w:rPr>
              <w:t>kluczowych branżach dla regionu</w:t>
            </w: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rozwiniętych przedsiębiorstw - 8</w:t>
            </w:r>
          </w:p>
          <w:p w:rsidR="005F5E3C" w:rsidRPr="00E87A5F" w:rsidRDefault="005F5E3C" w:rsidP="00067FD0">
            <w:pPr>
              <w:rPr>
                <w:rFonts w:ascii="Times New Roman" w:hAnsi="Times New Roman" w:cs="Times New Roman"/>
              </w:rPr>
            </w:pP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bl>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16</w:t>
      </w:r>
      <w:r w:rsidR="004F4A74" w:rsidRPr="00E87A5F">
        <w:rPr>
          <w:rFonts w:ascii="Times New Roman" w:hAnsi="Times New Roman"/>
          <w:sz w:val="22"/>
          <w:szCs w:val="22"/>
        </w:rPr>
        <w:fldChar w:fldCharType="end"/>
      </w:r>
      <w:r w:rsidRPr="00E87A5F">
        <w:rPr>
          <w:rFonts w:ascii="Times New Roman" w:hAnsi="Times New Roman"/>
          <w:sz w:val="22"/>
          <w:szCs w:val="22"/>
        </w:rPr>
        <w:t>. Matryca logiczna powiązań diagnozy obszaru i ludności, analizy SWOT oraz celów i wskaźników</w:t>
      </w:r>
    </w:p>
    <w:p w:rsidR="005F5E3C" w:rsidRPr="00E87A5F" w:rsidRDefault="005F5E3C" w:rsidP="005F5E3C">
      <w:pPr>
        <w:rPr>
          <w:rFonts w:ascii="Times New Roman" w:hAnsi="Times New Roman" w:cs="Times New Roman"/>
        </w:rPr>
        <w:sectPr w:rsidR="005F5E3C" w:rsidRPr="00E87A5F" w:rsidSect="003A2AD2">
          <w:type w:val="nextColumn"/>
          <w:pgSz w:w="16838" w:h="11906" w:orient="landscape"/>
          <w:pgMar w:top="567" w:right="567" w:bottom="567" w:left="851" w:header="709" w:footer="34" w:gutter="0"/>
          <w:cols w:space="708"/>
          <w:docGrid w:linePitch="360"/>
        </w:sectPr>
      </w:pPr>
    </w:p>
    <w:p w:rsidR="005F5E3C" w:rsidRPr="00E87A5F" w:rsidRDefault="005F5E3C" w:rsidP="005F5E3C">
      <w:pPr>
        <w:pStyle w:val="Nagwek1"/>
        <w:rPr>
          <w:rFonts w:ascii="Times New Roman" w:hAnsi="Times New Roman" w:cs="Times New Roman"/>
          <w:sz w:val="22"/>
          <w:szCs w:val="22"/>
        </w:rPr>
      </w:pPr>
      <w:bookmarkStart w:id="73" w:name="_Toc439184074"/>
      <w:r w:rsidRPr="00E87A5F">
        <w:rPr>
          <w:rFonts w:ascii="Times New Roman" w:hAnsi="Times New Roman" w:cs="Times New Roman"/>
          <w:sz w:val="22"/>
          <w:szCs w:val="22"/>
        </w:rPr>
        <w:lastRenderedPageBreak/>
        <w:t>Rozdział VI Sposób oceny i wyboru operacji oraz sposób ustanawiania kryteriów wyboru</w:t>
      </w:r>
      <w:bookmarkEnd w:id="73"/>
    </w:p>
    <w:p w:rsidR="005F5E3C" w:rsidRPr="00E87A5F" w:rsidRDefault="005F5E3C" w:rsidP="005F5E3C">
      <w:pPr>
        <w:rPr>
          <w:rFonts w:ascii="Times New Roman" w:hAnsi="Times New Roman" w:cs="Times New Roman"/>
        </w:rPr>
      </w:pP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Zestaw procedur został wypracowany przez pracowników biura w konsultacji z członkami Zarządu. Następnie zostały zaprezentowane członkom Rady i grupie roboczej. W wyniku dyskusji i propozycji zmian ustalono ostateczne procedury. Tak przygotowane procedury zostały pozytywnie zaopiniowane przez Zarząd, Radę i Walne Zebranie Członków. Opracowując regulaminy i procedury przyjęto zasadę, że niezależnie od ich treści LGD obowiązują przepisy prawa unijnego i krajowego, w których niejednokrotnie określono terminy, schemat i sposób postępowania w trakcie prowadzonych konkursów. Stąd wewnętrzne przepisy stowarzyszenia odnoszą się bezpośrednio w kwestii np. stosowanych terminów do obowiązujących przepisów prawa.</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Przez cały okres wdrażania strategii będą one udostępniane do wiadomości publicznej w biurze, na stronie internetowej LGD oraz omawiane w trakcie spotkań informacyjnych i szkoleń dla potencjalnych wnioskodawców. 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w:t>
      </w:r>
      <w:proofErr w:type="spellStart"/>
      <w:r w:rsidRPr="007D7C94">
        <w:rPr>
          <w:rFonts w:ascii="Times New Roman" w:hAnsi="Times New Roman" w:cs="Times New Roman"/>
        </w:rPr>
        <w:t>grantobiorców</w:t>
      </w:r>
      <w:proofErr w:type="spellEnd"/>
      <w:r w:rsidRPr="007D7C94">
        <w:rPr>
          <w:rFonts w:ascii="Times New Roman" w:hAnsi="Times New Roman" w:cs="Times New Roman"/>
        </w:rPr>
        <w:t xml:space="preserve"> oraz wszelkich instytucji zaangażowanych w proces wdrażania strategii. Jednocześnie należy podkreślić, że LGD zależy na wybraniu projektów, które w jak największej mierze pozwolą na osiągnięcie przyjętych w strategii założeń. 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Dla zachowania jednolitego podejścia do realizacji zadań przez LGD oraz określenia czytelnych zasad dla wnioskodawców i </w:t>
      </w:r>
      <w:proofErr w:type="spellStart"/>
      <w:r w:rsidRPr="007D7C94">
        <w:rPr>
          <w:rFonts w:ascii="Times New Roman" w:hAnsi="Times New Roman" w:cs="Times New Roman"/>
        </w:rPr>
        <w:t>grantobiorców</w:t>
      </w:r>
      <w:proofErr w:type="spellEnd"/>
      <w:r w:rsidRPr="007D7C94">
        <w:rPr>
          <w:rFonts w:ascii="Times New Roman" w:hAnsi="Times New Roman" w:cs="Times New Roman"/>
        </w:rPr>
        <w:t xml:space="preserve"> LGD stosuje podobne  zasady ogłaszania naborów wniosków do operacji i projektów grantowych. Różnice wynikają z obowiązujących przepisów prawa.</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Do czasu zakończenia prowadzonego naboru pracownicy biura LGD prowadzą nieodpłatne usługi doradcze i szkoleniowe dla potencjalnych wnioskodawców. LGD wysoko premiuje wnioskodawców, którzy uczestniczyli w szkoleniach lub/i indywidualnym doradztwie świadczonym w biurze. Wnioski o przyznanie pomocy składane będą bezpośrednio do LGD, pod adresem wskazanym w ogłoszeniu o naborze w terminie wskazanym w ogłoszeniu. LGD wskazała w procedurach wyboru operacji zasady wycofania wniosku i zasady obsługi wycofania wniosku.</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Po zakończeniu naboru następuje ocena wniosków na operacje lub wniosków  na powierzenie grantu. </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Radę w dwóch etapach: </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1) zgodności z LSR czyli zbadanie czy operacja: realizuje cel główny i szczegółowy LSR poprzez osiąganie zaplanowanych wskaźników; czy jest zgodna w PROW na lata 2014-2020 (obowiązującymi w ramach naboru warunkami udzielenia wsparcia oraz formą wsparcia wskazaną w ogłoszeniu o naborze wniosków); jest zgodna z zakresem tematycznym wskazanym w ogłoszeniu o naborze oraz czy wniosek został złożony w miejscu i terminie zgodnie z ogłoszeniem o naborze,</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2) na podstawie kryteriów wyboru określonych w LSR.</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operacji dokonywana przez Radę jest poprzedzona ocena wstępną dokonywaną przez Biuro LGD, która ma na celu zweryfikowanie wniosku i załączników pod katem kompletności. Pracownik Biura wypełnia dla każdego wniosku kartę weryfikacji wstępnej oraz kartę zgodności z PROW. Jeśli w wyniku tej oceny wniosku konieczne są uzupełnienia lub wyjaśnienia, LGD wnioskodawcę do ich złożenia zgodnie z obowiązującą w LGD Procedurą o udzielenie wsparcia. </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Wynik oceny wstępnej jest prezentowany przez Biuro na posiedzeniu Rady, która nie jest związana z tą oceną. Ostateczna decyzja dotycząca tej oceny należy do Rady, która w tej kwestii podejmuje decyzję w formie uchwały. Następnie operacja, która przeszła pozytywnie ocenę zgodności z LSR  jest oceniana przez Radę na podstawie kryteriów wyboru oraz ustalana jest kwota wsparcia dla poszczególnych operacji/grantów. </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Wynik tej oceny jest odzwierciedleniem przyznanych punktów dla danej operacji, co przekłada się na ustalenie listy rankingowej danego naboru (wg kolejności – wysokości punktów) oraz ustalenie kwoty wsparcia. Lista jest umieszczana na stronie internetowej LGD, a wnioskodawcy są informowani przez biuro o wynikach przeprowadzonego naboru. Wnioskodawca ma prawo do złożenia protestu/ odwołania, jeśli nie zgadza się z oceną. Szczegółowe zapisy zawiera Procedura oceny wniosków o udzielenie wsparcia oraz Procedura oceny i wyboru </w:t>
      </w:r>
      <w:proofErr w:type="spellStart"/>
      <w:r w:rsidRPr="007D7C94">
        <w:rPr>
          <w:rFonts w:ascii="Times New Roman" w:hAnsi="Times New Roman" w:cs="Times New Roman"/>
        </w:rPr>
        <w:t>grantobiorcy</w:t>
      </w:r>
      <w:proofErr w:type="spellEnd"/>
      <w:r w:rsidRPr="007D7C94">
        <w:rPr>
          <w:rFonts w:ascii="Times New Roman" w:hAnsi="Times New Roman" w:cs="Times New Roman"/>
        </w:rPr>
        <w:t xml:space="preserve"> dostępne na stronie internetowej LGD oraz do wglądu w wersji papierowej w biurze.  Protokoły z posiedzeń Rady Programowej publikowane są na stronie Internetowej LGD oraz udostępniane w jego siedzibie przy jednoczesnym zachowaniu zasadny ograniczenia dostępu do danych podlegających ochronie ze względu na zawarte dane osobowe lub informacje objęte tajemnicą.</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tych członków Rady i pracowników biura , którzy podpisali (w wersji papierowej lub elektronicznej) do każdej operacji/grantu z osobna deklaracje bezstronności, które są traktowane jako oświadczenie o przystąpieniu do oceny danego projektu. Nie podpisanie stosownej deklaracji jest wyłączeniem członka Rady i pracownika biura z oceny. Treść poszczególnych deklaracji zostanie zweryfikowana przez </w:t>
      </w:r>
      <w:r w:rsidRPr="007D7C94">
        <w:rPr>
          <w:rFonts w:ascii="Times New Roman" w:hAnsi="Times New Roman" w:cs="Times New Roman"/>
        </w:rPr>
        <w:lastRenderedPageBreak/>
        <w:t xml:space="preserve">Przewodniczącego Rady (lub jego zastępcę), a dodatkowo dla członków Rady z informacjami zawartymi w rejestrze interesów członków Rady, pozwalającego na identyfikację charakteru powiązań z wnioskodawcami/poszczególnymi projektami, który  jest prowadzony przez LGD (w celu zapewnienia bezstronnej i rzetelnej oceny). </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Nad prawidłowością przebiegu procesu oceny i wyboru, poprawnością dokumentacji i zgodnością formalną czuwać będzie Przewodniczący Rady (lub jego zastępca), wspierany w tych czynnościach przez pracowników biura LGD. Szczegółowe zasady pracy Rady określa Regulamin. </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Decyzja dotycząca wyboru operacji i grantów podejmowana jest przez wszystkich członków Rady. Należy podkreślić, że w trakcie podejmowania uchwały członkowie Rady, którym nie powierzono oceny poszczególnych wniosków nie mogą zmienić ich oceny. W ten sposób zapewniona jest zasada, że wnioski oceniane są przez osoby bezstronne, które reprezentują różne sektory i grupy interesów, przy jednoczesnym usprawnieniu całego procesu wyboru.</w:t>
      </w:r>
    </w:p>
    <w:p w:rsidR="007D7C94" w:rsidRPr="007D7C94" w:rsidRDefault="007D7C94" w:rsidP="007D7C94">
      <w:pPr>
        <w:spacing w:after="0" w:line="240" w:lineRule="auto"/>
        <w:ind w:left="284"/>
        <w:jc w:val="both"/>
        <w:rPr>
          <w:rFonts w:ascii="Times New Roman" w:hAnsi="Times New Roman" w:cs="Times New Roman"/>
          <w:b/>
        </w:rPr>
      </w:pPr>
    </w:p>
    <w:p w:rsidR="007D7C94" w:rsidRPr="007D7C94" w:rsidRDefault="007D7C94" w:rsidP="007D7C94">
      <w:pPr>
        <w:spacing w:after="0" w:line="240" w:lineRule="auto"/>
        <w:ind w:left="284"/>
        <w:jc w:val="both"/>
        <w:rPr>
          <w:rFonts w:ascii="Times New Roman" w:hAnsi="Times New Roman" w:cs="Times New Roman"/>
          <w:b/>
        </w:rPr>
      </w:pPr>
      <w:r w:rsidRPr="007D7C94">
        <w:rPr>
          <w:rFonts w:ascii="Times New Roman" w:hAnsi="Times New Roman" w:cs="Times New Roman"/>
          <w:b/>
        </w:rPr>
        <w:t>Sposób ustanawiania i zmiany kryteriów wyboru</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Kryteria wyboru operacji były wypracowywane podczas całego procesu tworzenia LSR. Propozycje poszczególnych kryteriów były konsultowane podczas pracy grupy roboczej a także zostały umieszczone na stronie www w celu konsultacji ze społecznością lokalną. Ostatecznie zespól zaangażowany w prace nad LSR wypracował kryteria odnoszące się do poszczególnych przedsięwzięć. Kryteria przyjęte przez grupę zostały precyzyjnie określone, tak, aby sposób przyznawania punktów nie budził żadnych wątpliwości. LGD umieściła w opisie kryteriów szczegółowe definicje, zakresy i sposoby punktacji.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 Wśród stosowanych kryteriów wyboru znalazły się takie, których stosowanie wynika z przepisów związanych z PROW 2014-2020, są rekomendowane w Programie lub wynikają z dotychczasowych dobrych praktyk w tym zakresie. LGD planuje premiować m.in. operacje generujące jak najwięcej miejsc pracy, projekty skierowane w kierunku rozwoju i promocji turystyki, wsparcie grup de faworyzowanych, a w przypadku operacji z zakresu infrastruktury – projekty realizowane w miejscowościach do 5 tysięcy mieszkańców. Dodatkowo LGD przewidziała kryteria odnoszące się bezpośrednio do wskaźników produktu i rezultatu</w:t>
      </w:r>
    </w:p>
    <w:p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Z wnioskiem </w:t>
      </w:r>
      <w:r w:rsidRPr="007D7C94">
        <w:rPr>
          <w:rFonts w:ascii="Times New Roman" w:hAnsi="Times New Roman" w:cs="Times New Roman"/>
          <w:u w:val="single"/>
        </w:rPr>
        <w:t>o zmianę kryteriów wyboru</w:t>
      </w:r>
      <w:r w:rsidRPr="007D7C94">
        <w:rPr>
          <w:rFonts w:ascii="Times New Roman" w:hAnsi="Times New Roman" w:cs="Times New Roman"/>
        </w:rPr>
        <w:t xml:space="preserve"> wraz z uzasadnieniem mogą wystąpić: członkowie Rady, Zarządu lub występujących łącznie w formie pisemnej 15 członków LGD. Propozycje nowych kryteriów wyboru publikowane są na stronie Internetowej w celu przeprowadzenia konsultacji społecznych. Uwzględniając konsultacje Zarząd we współpracy z przedstawicielami Rady przygotuje propozycję nowych kryteriów i przedstawi na najbliższym Walnym Zebraniu do akceptacji. Następnie biuro LGD przygotowuje karty oceny z nowymi kryteriami i przekaże do akceptacji SW. Zmienione kryteria będą obowiązywać od dnia akceptacji SW i zostaną wprowadzone do aplikacji.</w:t>
      </w:r>
    </w:p>
    <w:p w:rsidR="007D7C94" w:rsidRPr="007D7C94" w:rsidRDefault="007D7C94" w:rsidP="007D7C94">
      <w:pPr>
        <w:pStyle w:val="Akapitzlist"/>
        <w:spacing w:after="0" w:line="240" w:lineRule="auto"/>
        <w:ind w:left="284"/>
        <w:rPr>
          <w:rFonts w:ascii="Times New Roman" w:hAnsi="Times New Roman" w:cs="Times New Roman"/>
        </w:rPr>
        <w:sectPr w:rsidR="007D7C94" w:rsidRPr="007D7C94" w:rsidSect="007D7C94">
          <w:type w:val="nextColumn"/>
          <w:pgSz w:w="11906" w:h="16838"/>
          <w:pgMar w:top="567" w:right="567" w:bottom="567" w:left="851" w:header="709" w:footer="3" w:gutter="0"/>
          <w:cols w:space="708"/>
          <w:docGrid w:linePitch="360"/>
        </w:sectPr>
      </w:pPr>
      <w:r w:rsidRPr="007D7C94">
        <w:rPr>
          <w:rFonts w:ascii="Times New Roman" w:hAnsi="Times New Roman" w:cs="Times New Roman"/>
        </w:rPr>
        <w:t>Kryteria wyboru grantów i operacji są różne dla poszczególnych przedsięwzięć. W poniższej tabeli wskazano kryteria przypisane do przedsięwzięcia wraz z podaniem zdiagnozowanego problemu i uzasadnieniem.</w:t>
      </w: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17</w:t>
      </w:r>
      <w:r w:rsidR="004F4A74" w:rsidRPr="00E87A5F">
        <w:rPr>
          <w:rFonts w:ascii="Times New Roman" w:hAnsi="Times New Roman"/>
          <w:sz w:val="22"/>
          <w:szCs w:val="22"/>
        </w:rPr>
        <w:fldChar w:fldCharType="end"/>
      </w:r>
      <w:r w:rsidRPr="00E87A5F">
        <w:rPr>
          <w:rFonts w:ascii="Times New Roman" w:hAnsi="Times New Roman"/>
          <w:sz w:val="22"/>
          <w:szCs w:val="22"/>
        </w:rPr>
        <w:t>. Opis kryteriów</w:t>
      </w:r>
    </w:p>
    <w:tbl>
      <w:tblPr>
        <w:tblW w:w="4965"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640"/>
        <w:gridCol w:w="1161"/>
        <w:gridCol w:w="4264"/>
        <w:gridCol w:w="8462"/>
      </w:tblGrid>
      <w:tr w:rsidR="005F5E3C" w:rsidRPr="00E87A5F" w:rsidTr="005F5E3C">
        <w:tc>
          <w:tcPr>
            <w:tcW w:w="528" w:type="pct"/>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Nazwa kryterium</w:t>
            </w:r>
          </w:p>
        </w:tc>
        <w:tc>
          <w:tcPr>
            <w:tcW w:w="374" w:type="pct"/>
          </w:tcPr>
          <w:p w:rsidR="005F5E3C" w:rsidRPr="00E87A5F" w:rsidRDefault="005F5E3C" w:rsidP="005F5E3C">
            <w:pPr>
              <w:spacing w:after="0" w:line="240" w:lineRule="auto"/>
              <w:rPr>
                <w:rFonts w:ascii="Times New Roman" w:hAnsi="Times New Roman" w:cs="Times New Roman"/>
                <w:b/>
              </w:rPr>
            </w:pPr>
            <w:r w:rsidRPr="00E87A5F">
              <w:rPr>
                <w:rFonts w:ascii="Times New Roman" w:hAnsi="Times New Roman" w:cs="Times New Roman"/>
                <w:b/>
              </w:rPr>
              <w:t xml:space="preserve">Przedsięwzięcie </w:t>
            </w:r>
          </w:p>
        </w:tc>
        <w:tc>
          <w:tcPr>
            <w:tcW w:w="1373" w:type="pct"/>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 xml:space="preserve">Zdiagnozowany problem </w:t>
            </w:r>
          </w:p>
          <w:p w:rsidR="005F5E3C" w:rsidRPr="00E87A5F" w:rsidRDefault="005F5E3C" w:rsidP="00067FD0">
            <w:pPr>
              <w:spacing w:after="0" w:line="240" w:lineRule="auto"/>
              <w:jc w:val="center"/>
              <w:rPr>
                <w:rFonts w:ascii="Times New Roman" w:hAnsi="Times New Roman" w:cs="Times New Roman"/>
                <w:b/>
              </w:rPr>
            </w:pPr>
          </w:p>
        </w:tc>
        <w:tc>
          <w:tcPr>
            <w:tcW w:w="2725" w:type="pct"/>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Uzasadnienie</w:t>
            </w:r>
          </w:p>
        </w:tc>
      </w:tr>
      <w:tr w:rsidR="005F5E3C" w:rsidRPr="00E87A5F" w:rsidTr="005F5E3C">
        <w:trPr>
          <w:trHeight w:val="1270"/>
        </w:trPr>
        <w:tc>
          <w:tcPr>
            <w:tcW w:w="528"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lang w:eastAsia="ar-SA"/>
              </w:rPr>
              <w:t>Operacja przyczyniające się do rozwoju infrastruktury obszaru LGD Kwiat Lnu</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rsidR="005F5E3C" w:rsidRPr="00E87A5F" w:rsidRDefault="005F5E3C" w:rsidP="00067FD0">
            <w:pPr>
              <w:spacing w:after="0" w:line="240" w:lineRule="auto"/>
              <w:rPr>
                <w:rFonts w:ascii="Times New Roman" w:hAnsi="Times New Roman" w:cs="Times New Roman"/>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w:t>
            </w: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będą inwestycje, które przyczyniają się do uatrakcyjnienia oferty turystycznej oraz zwiększenia ruchu turystycznego. Jest to rodzaj inwestycji najwyżej premiowany z uwagi niewystarczającą ilość tej infrastruktury i jej niezadawalający stan.</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Ponadto będą preferowane inwestycje rekreacyjne i kulturowe służące mieszkańcom do rozwoju społecznego. Działania na rzecz ochrony i zachowania zabytków, które są szczególnie ważne na naszym obszarze. Wskazują wyjątkowość miejsca i przyciągają turystów. Kryterium odnosi się bezpośrednio do osiągnięcia wskaźnika: liczba zagospodarowania miejsc przestrzeni publicznej oraz liczba osób użytkujących miejsca przestrzeni publicznej</w:t>
            </w:r>
          </w:p>
        </w:tc>
      </w:tr>
      <w:tr w:rsidR="005F5E3C" w:rsidRPr="00E87A5F" w:rsidTr="005F5E3C">
        <w:trPr>
          <w:trHeight w:val="707"/>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Operacja przyczynia się bezpośrednio do zwiększenia atrakcyjności turystycznej obszaru LGD Kwiat Lnu</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1.2.1</w:t>
            </w:r>
          </w:p>
          <w:p w:rsidR="005F5E3C" w:rsidRPr="00E87A5F" w:rsidRDefault="005F5E3C" w:rsidP="00067FD0">
            <w:pPr>
              <w:snapToGrid w:val="0"/>
              <w:spacing w:after="0" w:line="240" w:lineRule="auto"/>
              <w:rPr>
                <w:rFonts w:ascii="Times New Roman" w:hAnsi="Times New Roman" w:cs="Times New Roman"/>
                <w:i/>
                <w:lang w:eastAsia="ar-SA"/>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 Słaba infrastruktura i zagospodarowanie szlaków, miejsc atrakcyjnych turystycznie i rekreacyjnie </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rsidR="005F5E3C" w:rsidRPr="00E87A5F" w:rsidRDefault="005F5E3C" w:rsidP="00067FD0">
            <w:pPr>
              <w:spacing w:after="0" w:line="240" w:lineRule="auto"/>
              <w:rPr>
                <w:rFonts w:ascii="Times New Roman" w:hAnsi="Times New Roman" w:cs="Times New Roman"/>
              </w:rPr>
            </w:pP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preferowana będzie mała infrastruktura, służąca turystom. </w:t>
            </w:r>
            <w:r w:rsidRPr="00E87A5F">
              <w:rPr>
                <w:rFonts w:ascii="Times New Roman" w:hAnsi="Times New Roman" w:cs="Times New Roman"/>
                <w:lang w:eastAsia="ar-SA"/>
              </w:rPr>
              <w:t xml:space="preserve">np. są zlokalizowane na szlaku turystycznym i maja charakter otwarty , a każdy potencjalny turysta może z nich skorzystać. </w:t>
            </w:r>
            <w:r w:rsidRPr="00E87A5F">
              <w:rPr>
                <w:rFonts w:ascii="Times New Roman" w:hAnsi="Times New Roman" w:cs="Times New Roman"/>
              </w:rPr>
              <w:t>Jest to rodzaj inwestycji najwyżej premiowany z uwagi na niedostateczną ilość małej  infrastruktury  turystycznej i jej niezadawalający stan. Kryterium odnosi się bezpośrednio do osiągnięcia wskaźników: liczba utworzonych lub zmodernizowanych tras turystycznych, liczba utworzonych, przebudowanych obiektów infrastruktury turystycznej, liczba osób użytkujących utworzone lub zmodernizowane trasy turystyczne, liczba użytkowników utworzonej, przebudowanej infrastruktury turystycznej</w:t>
            </w:r>
          </w:p>
          <w:p w:rsidR="005F5E3C" w:rsidRPr="00E87A5F" w:rsidRDefault="005F5E3C" w:rsidP="00067FD0">
            <w:pPr>
              <w:spacing w:after="0" w:line="240" w:lineRule="auto"/>
              <w:rPr>
                <w:rFonts w:ascii="Times New Roman" w:hAnsi="Times New Roman" w:cs="Times New Roman"/>
                <w:lang w:eastAsia="ar-SA"/>
              </w:rPr>
            </w:pPr>
          </w:p>
        </w:tc>
      </w:tr>
      <w:tr w:rsidR="005F5E3C" w:rsidRPr="00E87A5F" w:rsidTr="005F5E3C">
        <w:trPr>
          <w:trHeight w:val="978"/>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Oparcie operacji na lokalnych wartościach i zasobach</w:t>
            </w:r>
          </w:p>
        </w:tc>
        <w:tc>
          <w:tcPr>
            <w:tcW w:w="374" w:type="pct"/>
          </w:tcPr>
          <w:p w:rsidR="005F5E3C" w:rsidRPr="00E87A5F" w:rsidRDefault="005F5E3C" w:rsidP="00067FD0">
            <w:pPr>
              <w:spacing w:after="0" w:line="240" w:lineRule="auto"/>
              <w:rPr>
                <w:rFonts w:ascii="Times New Roman" w:hAnsi="Times New Roman" w:cs="Times New Roman"/>
              </w:rPr>
            </w:pPr>
          </w:p>
          <w:p w:rsidR="005F5E3C" w:rsidRPr="00E87A5F" w:rsidRDefault="000F5DAD" w:rsidP="00067FD0">
            <w:pPr>
              <w:spacing w:after="0" w:line="240" w:lineRule="auto"/>
              <w:rPr>
                <w:rFonts w:ascii="Times New Roman" w:hAnsi="Times New Roman" w:cs="Times New Roman"/>
              </w:rPr>
            </w:pPr>
            <w:r>
              <w:rPr>
                <w:rFonts w:ascii="Times New Roman" w:hAnsi="Times New Roman" w:cs="Times New Roman"/>
              </w:rPr>
              <w:t>1.1.3</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 Odchodzenie od wielokulturowych tradycji</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będzie wykorzystanie lokalnych wartości i zasobów przyrodniczych, kulturowych lub historycznych. Jest to kryterium dla projektów grantowych, gdzie będzie największe zaangażowanie mieszkańców w działania. To kryterium przyczyni się do zwiększenia wiedzy i  wykorzystania zdiagnozowanego potencjału, bogatych walorów, lokalnych zasobów i tradycji.  Kryterium odnosi się bezpośrednio do: Liczba osób korzystających z obiektów zabytkowych poddanych remontom, konserwacji, rewitalizacji</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Liczba mieszkańców miejscowości, którzy skorzystali z miejsc odtwarzania i rewitalizacji krajobrazu kulturowego wsi, Liczba obiektów zabytkowych poddanych remontom, konserwacji, rewitalizacji, liczba miejsc prezentacji produktów lokalnych i dziedzictwa historycznego, Liczba miejsc odtwarzania i rewitalizacji krajobrazu kulturowego wsi</w:t>
            </w:r>
            <w:r w:rsidR="0035458B">
              <w:rPr>
                <w:rFonts w:ascii="Times New Roman" w:hAnsi="Times New Roman" w:cs="Times New Roman"/>
              </w:rPr>
              <w:t>.</w:t>
            </w:r>
          </w:p>
        </w:tc>
      </w:tr>
      <w:tr w:rsidR="000F5DAD" w:rsidRPr="00E87A5F" w:rsidTr="005F5E3C">
        <w:trPr>
          <w:trHeight w:val="978"/>
        </w:trPr>
        <w:tc>
          <w:tcPr>
            <w:tcW w:w="528" w:type="pct"/>
          </w:tcPr>
          <w:p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lastRenderedPageBreak/>
              <w:t>Atrakcyjność</w:t>
            </w:r>
          </w:p>
          <w:p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t>projektu</w:t>
            </w:r>
          </w:p>
        </w:tc>
        <w:tc>
          <w:tcPr>
            <w:tcW w:w="374" w:type="pct"/>
          </w:tcPr>
          <w:p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1.1.1</w:t>
            </w:r>
          </w:p>
          <w:p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1.1.2</w:t>
            </w:r>
          </w:p>
          <w:p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1.1.4</w:t>
            </w:r>
          </w:p>
          <w:p w:rsidR="000F5DAD" w:rsidRPr="000F5DAD" w:rsidRDefault="000F5DAD" w:rsidP="000F5DAD">
            <w:pPr>
              <w:spacing w:after="0" w:line="240" w:lineRule="auto"/>
              <w:rPr>
                <w:rFonts w:ascii="Times New Roman" w:hAnsi="Times New Roman" w:cs="Times New Roman"/>
                <w:strike/>
              </w:rPr>
            </w:pPr>
            <w:r w:rsidRPr="000F5DAD">
              <w:rPr>
                <w:rFonts w:ascii="Times New Roman" w:hAnsi="Times New Roman" w:cs="Times New Roman"/>
              </w:rPr>
              <w:t>1.2.1</w:t>
            </w:r>
          </w:p>
        </w:tc>
        <w:tc>
          <w:tcPr>
            <w:tcW w:w="1373" w:type="pct"/>
          </w:tcPr>
          <w:p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Na obszarze odbywa się mało działań które cechują się np. nowymi pomysłami, atrakcyjnością działań lub nowatorskim podejściem.</w:t>
            </w:r>
          </w:p>
        </w:tc>
        <w:tc>
          <w:tcPr>
            <w:tcW w:w="2725" w:type="pct"/>
          </w:tcPr>
          <w:p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W ramach kryterium preferowane będą działania lub zajęcia, które wcześniej nie były realizowane w danej społeczności, wykorzystujące nowe metody, atrakcyjne i ciekawe pomysły.</w:t>
            </w:r>
          </w:p>
        </w:tc>
      </w:tr>
      <w:tr w:rsidR="000F5DAD" w:rsidRPr="00E87A5F" w:rsidTr="005F5E3C">
        <w:trPr>
          <w:trHeight w:val="1004"/>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Adekwatność infrastruktury do potrzeb społecznych i </w:t>
            </w:r>
            <w:r>
              <w:rPr>
                <w:rFonts w:ascii="Times New Roman" w:hAnsi="Times New Roman" w:cs="Times New Roman"/>
                <w:lang w:eastAsia="ar-SA"/>
              </w:rPr>
              <w:t>partnerów</w:t>
            </w:r>
          </w:p>
          <w:p w:rsidR="000F5DAD" w:rsidRPr="00E87A5F" w:rsidRDefault="000F5DAD" w:rsidP="00067FD0">
            <w:pPr>
              <w:snapToGrid w:val="0"/>
              <w:spacing w:after="0" w:line="240" w:lineRule="auto"/>
              <w:rPr>
                <w:rFonts w:ascii="Times New Roman" w:hAnsi="Times New Roman" w:cs="Times New Roman"/>
                <w:highlight w:val="yellow"/>
                <w:lang w:eastAsia="ar-SA"/>
              </w:rPr>
            </w:pPr>
          </w:p>
          <w:p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rsidR="000F5DAD" w:rsidRPr="00E87A5F" w:rsidRDefault="000F5DAD" w:rsidP="00067FD0">
            <w:pPr>
              <w:pStyle w:val="Akapitzlist"/>
              <w:spacing w:after="0" w:line="240" w:lineRule="auto"/>
              <w:ind w:left="0"/>
              <w:rPr>
                <w:rFonts w:ascii="Times New Roman" w:hAnsi="Times New Roman" w:cs="Times New Roman"/>
                <w:i/>
                <w:highlight w:val="yellow"/>
              </w:rPr>
            </w:pP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2725" w:type="pct"/>
          </w:tcPr>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kryterium preferowane będą zadania infrastrukturalne, które realizowane w ramach  grantów,   są ujęte w dokumentach strategicznych gminy lub sołectwa. Preferencja dotyczy również infrastruktury, której zadania było poddane konsultacjom społecznych oraz zaangażują partnerów z różnych sektorów i woluntariuszy ze społeczności lokalnej. Jest to kryterium do projektów grantowych i pozwala wybrać najlepsze pomysły, które zaakceptowali mieszkańcy.</w:t>
            </w:r>
          </w:p>
        </w:tc>
      </w:tr>
      <w:tr w:rsidR="000F5DAD" w:rsidRPr="00E87A5F" w:rsidTr="005F5E3C">
        <w:trPr>
          <w:trHeight w:val="1004"/>
        </w:trPr>
        <w:tc>
          <w:tcPr>
            <w:tcW w:w="528" w:type="pct"/>
          </w:tcPr>
          <w:p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Adekwatność działania do potrzeb promocji obszaru</w:t>
            </w:r>
          </w:p>
        </w:tc>
        <w:tc>
          <w:tcPr>
            <w:tcW w:w="374" w:type="pct"/>
          </w:tcPr>
          <w:p w:rsidR="000F5DAD" w:rsidRPr="00E87A5F" w:rsidRDefault="000F5DAD" w:rsidP="00067FD0">
            <w:pPr>
              <w:spacing w:after="0" w:line="240" w:lineRule="auto"/>
              <w:rPr>
                <w:rFonts w:ascii="Times New Roman" w:hAnsi="Times New Roman" w:cs="Times New Roman"/>
                <w:highlight w:val="yellow"/>
              </w:rPr>
            </w:pPr>
            <w:r w:rsidRPr="00E87A5F">
              <w:rPr>
                <w:rFonts w:ascii="Times New Roman" w:hAnsi="Times New Roman" w:cs="Times New Roman"/>
              </w:rPr>
              <w:t>1.1.3</w:t>
            </w: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tc>
        <w:tc>
          <w:tcPr>
            <w:tcW w:w="2725" w:type="pct"/>
          </w:tcPr>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tym miejscu preferowane będą działania związane z promocją obszaru, które są zapisane w dokumentach lokalnych jako szczególnie istotne dla rozwoju turystyki. Spełnienie tego kryterium odnosić się będzie do wskaźników: Liczba osób  poinformowanych o atrakcjach turystycznych,  liczba wyeksponowanych atrakcji /obiektów turystycznych, liczba rodzajów promocji</w:t>
            </w:r>
          </w:p>
        </w:tc>
      </w:tr>
      <w:tr w:rsidR="000F5DAD" w:rsidRPr="00E87A5F" w:rsidTr="005F5E3C">
        <w:trPr>
          <w:trHeight w:val="1266"/>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Rozszerzenie inwestycyjnego charakteru operacji o inne działania</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rsidR="000F5DAD" w:rsidRPr="00E87A5F" w:rsidRDefault="000F5DAD" w:rsidP="00067FD0">
            <w:pPr>
              <w:pStyle w:val="Akapitzlist"/>
              <w:spacing w:after="0" w:line="240" w:lineRule="auto"/>
              <w:ind w:left="0"/>
              <w:rPr>
                <w:rFonts w:ascii="Times New Roman" w:hAnsi="Times New Roman" w:cs="Times New Roman"/>
                <w:i/>
                <w:shd w:val="clear" w:color="auto" w:fill="FFFFFF"/>
              </w:rPr>
            </w:pP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rsidR="000F5DAD" w:rsidRPr="00E87A5F" w:rsidRDefault="000F5DAD" w:rsidP="00067FD0">
            <w:pPr>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rsidR="000F5DAD" w:rsidRPr="00E87A5F" w:rsidRDefault="000F5DAD" w:rsidP="00067FD0">
            <w:pPr>
              <w:spacing w:after="0" w:line="240" w:lineRule="auto"/>
              <w:rPr>
                <w:rFonts w:ascii="Times New Roman" w:hAnsi="Times New Roman" w:cs="Times New Roman"/>
              </w:rPr>
            </w:pPr>
          </w:p>
          <w:p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W ramach kryterium preferowane będą działania dodatkowe „miękkie”, które będą realizowane przy działaniach infrastrukturalnych. </w:t>
            </w:r>
            <w:r w:rsidRPr="00E87A5F">
              <w:rPr>
                <w:rFonts w:ascii="Times New Roman" w:hAnsi="Times New Roman" w:cs="Times New Roman"/>
                <w:shd w:val="clear" w:color="auto" w:fill="FFFFFF"/>
              </w:rPr>
              <w:t xml:space="preserve">Działania „miękkie” to działania </w:t>
            </w:r>
            <w:proofErr w:type="spellStart"/>
            <w:r w:rsidRPr="00E87A5F">
              <w:rPr>
                <w:rFonts w:ascii="Times New Roman" w:hAnsi="Times New Roman" w:cs="Times New Roman"/>
                <w:shd w:val="clear" w:color="auto" w:fill="FFFFFF"/>
              </w:rPr>
              <w:t>nieinwestycyjne</w:t>
            </w:r>
            <w:proofErr w:type="spellEnd"/>
            <w:r w:rsidRPr="00E87A5F">
              <w:rPr>
                <w:rFonts w:ascii="Times New Roman" w:hAnsi="Times New Roman" w:cs="Times New Roman"/>
                <w:shd w:val="clear" w:color="auto" w:fill="FFFFFF"/>
              </w:rPr>
              <w:t xml:space="preserve">, obejmujące dodatkowe wydarzenia lub działania o charakterze integrującym społeczność lokalną np.; społecznym, kulturalnym, sportowym, itp. zorganizowane dodatkowo w ramach operacji realizującej infrastrukturę </w:t>
            </w:r>
            <w:r w:rsidRPr="00E87A5F">
              <w:rPr>
                <w:rFonts w:ascii="Times New Roman" w:hAnsi="Times New Roman" w:cs="Times New Roman"/>
              </w:rPr>
              <w:t xml:space="preserve">Jest to kryterium do projektów grantowych i pozwala wybrać najlepsze pomysły, które pokazują zaangażowanie  mieszkańców.  </w:t>
            </w:r>
          </w:p>
        </w:tc>
      </w:tr>
      <w:tr w:rsidR="000F5DAD" w:rsidRPr="00E87A5F" w:rsidTr="005F5E3C">
        <w:trPr>
          <w:trHeight w:val="1024"/>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Siedziba Wnioskodawcy</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rsidR="000F5DAD" w:rsidRPr="00E87A5F" w:rsidRDefault="000F5DAD" w:rsidP="00067FD0">
            <w:pPr>
              <w:pStyle w:val="Akapitzlist"/>
              <w:spacing w:after="0" w:line="240" w:lineRule="auto"/>
              <w:ind w:left="0"/>
              <w:rPr>
                <w:rFonts w:ascii="Times New Roman" w:hAnsi="Times New Roman" w:cs="Times New Roman"/>
                <w:i/>
                <w:u w:val="single"/>
              </w:rPr>
            </w:pP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rsidR="000F5DAD" w:rsidRPr="00E87A5F" w:rsidRDefault="000F5DAD" w:rsidP="00067FD0">
            <w:pPr>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lang w:eastAsia="ar-SA"/>
              </w:rPr>
            </w:pPr>
          </w:p>
        </w:tc>
        <w:tc>
          <w:tcPr>
            <w:tcW w:w="2725"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preferuje wnioskodawcę, który ma swoją siedzibę na obszarze miejscowości lub gminy, której dotyczy lokalizacja operacji. Najwyżej ocenia się organizację z miejscowości, co  wspiera budowanie kapitału społecznego oraz włączenie społeczne lokalnych organizacji i  motywuje do zakładania małych organizacji na wsiach. Realizacja w ramach grantów.</w:t>
            </w:r>
          </w:p>
        </w:tc>
      </w:tr>
      <w:tr w:rsidR="000F5DAD" w:rsidRPr="00E87A5F" w:rsidTr="005F5E3C">
        <w:trPr>
          <w:trHeight w:val="619"/>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Liczba mieszkańców miejscowości, w której realizowana jest operacja</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1.1.3 </w:t>
            </w:r>
          </w:p>
        </w:tc>
        <w:tc>
          <w:tcPr>
            <w:tcW w:w="1373"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Zapis wynika z obowiązku w Programie PROW.</w:t>
            </w:r>
          </w:p>
        </w:tc>
        <w:tc>
          <w:tcPr>
            <w:tcW w:w="2725"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t xml:space="preserve">Kryterium preferuje </w:t>
            </w:r>
            <w:r w:rsidRPr="00E87A5F">
              <w:rPr>
                <w:rFonts w:ascii="Times New Roman" w:hAnsi="Times New Roman" w:cs="Times New Roman"/>
              </w:rPr>
              <w:t xml:space="preserve">operacje realizowana w zakresie infrastruktury turystycznej, rekreacyjnej lub kulturowej na terenie miejscowości zamieszkałych przez mniej niż 5 tys. mieszkańców  - </w:t>
            </w:r>
            <w:r w:rsidRPr="00E87A5F">
              <w:rPr>
                <w:rFonts w:ascii="Times New Roman" w:hAnsi="Times New Roman" w:cs="Times New Roman"/>
                <w:lang w:eastAsia="ar-SA"/>
              </w:rPr>
              <w:t>obowiązkowe w PROW.</w:t>
            </w:r>
          </w:p>
        </w:tc>
      </w:tr>
      <w:tr w:rsidR="000F5DAD" w:rsidRPr="00E87A5F" w:rsidTr="005F5E3C">
        <w:trPr>
          <w:trHeight w:val="467"/>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Zakres uruchamianej / rozwijanej </w:t>
            </w:r>
            <w:r w:rsidRPr="00E87A5F">
              <w:rPr>
                <w:rFonts w:ascii="Times New Roman" w:hAnsi="Times New Roman" w:cs="Times New Roman"/>
                <w:lang w:eastAsia="ar-SA"/>
              </w:rPr>
              <w:lastRenderedPageBreak/>
              <w:t xml:space="preserve">działalności przyczynia się do rozwoju gospodarczego w kierunkach wskazanych w LSR  </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1.3.1</w:t>
            </w:r>
          </w:p>
          <w:p w:rsidR="000F5DAD" w:rsidRPr="00E87A5F" w:rsidRDefault="000F5DAD" w:rsidP="00067FD0">
            <w:pPr>
              <w:spacing w:after="0" w:line="240" w:lineRule="auto"/>
              <w:contextualSpacing/>
              <w:rPr>
                <w:rFonts w:ascii="Times New Roman" w:hAnsi="Times New Roman" w:cs="Times New Roman"/>
                <w:i/>
                <w:u w:val="single"/>
              </w:rPr>
            </w:pPr>
            <w:r w:rsidRPr="00E87A5F">
              <w:rPr>
                <w:rFonts w:ascii="Times New Roman" w:hAnsi="Times New Roman" w:cs="Times New Roman"/>
              </w:rPr>
              <w:t>1.3.2</w:t>
            </w: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Niewystarczająco rozwinięta baza noclegowo-gastronomiczna</w:t>
            </w:r>
          </w:p>
          <w:p w:rsidR="000F5DAD" w:rsidRPr="00E87A5F" w:rsidRDefault="000F5DAD" w:rsidP="00067FD0">
            <w:pPr>
              <w:snapToGrid w:val="0"/>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Niższy poziom przedsiębiorczości w porównaniu ze wskaźnikami wojewódzkimi.</w:t>
            </w:r>
          </w:p>
          <w:p w:rsidR="000F5DAD" w:rsidRPr="00E87A5F" w:rsidRDefault="000F5DAD" w:rsidP="00067FD0">
            <w:pPr>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p w:rsidR="000F5DAD" w:rsidRPr="00E87A5F" w:rsidRDefault="000F5DAD" w:rsidP="00067FD0">
            <w:pPr>
              <w:snapToGrid w:val="0"/>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Trudne warunki przyrodniczo - glebowe dla rolnictwa</w:t>
            </w:r>
          </w:p>
          <w:p w:rsidR="000F5DAD" w:rsidRPr="00E87A5F" w:rsidRDefault="000F5DAD" w:rsidP="00067FD0">
            <w:pPr>
              <w:snapToGrid w:val="0"/>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rsidR="000F5DAD" w:rsidRPr="00E87A5F" w:rsidRDefault="000F5DAD" w:rsidP="00067FD0">
            <w:pPr>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tc>
        <w:tc>
          <w:tcPr>
            <w:tcW w:w="2725"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 xml:space="preserve">Kryterium stosowane przy zakładaniu i rozwijaniu działalności promuje zakres uruchamianej działalności, który przyczynia się do rozwoju gospodarczego w kierunkach wskazanych jako ważne w LSR dla obszaru LGD. Za ważne dla dalszego rozwoju obszaru LGD w </w:t>
            </w:r>
            <w:r w:rsidRPr="00E87A5F">
              <w:rPr>
                <w:rFonts w:ascii="Times New Roman" w:hAnsi="Times New Roman" w:cs="Times New Roman"/>
              </w:rPr>
              <w:lastRenderedPageBreak/>
              <w:t>dokumencie strategicznym jakim jest LSR na lata 2014-2020 uznano turystykę oraz zmniejszenie bezrobocia zatem pogrupowano rodzaje działalności na następujące zakresy:</w:t>
            </w:r>
          </w:p>
          <w:p w:rsidR="000F5DAD" w:rsidRPr="00E87A5F" w:rsidRDefault="000F5DAD" w:rsidP="00067FD0">
            <w:pPr>
              <w:spacing w:after="0" w:line="240" w:lineRule="auto"/>
              <w:rPr>
                <w:rFonts w:ascii="Times New Roman" w:hAnsi="Times New Roman" w:cs="Times New Roman"/>
              </w:rPr>
            </w:pPr>
          </w:p>
          <w:p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 xml:space="preserve">Usługi związane z obsługą ruchu turystycznego  </w:t>
            </w:r>
          </w:p>
          <w:p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związana z zakwaterowaniem,  gastronomią</w:t>
            </w:r>
          </w:p>
          <w:p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oparta na  produktach lokalnych</w:t>
            </w:r>
          </w:p>
          <w:p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Usługi skierowane do seniorów</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odnosi się do wskaźników: Liczba nowych lub rozwiniętych firm</w:t>
            </w:r>
          </w:p>
        </w:tc>
      </w:tr>
      <w:tr w:rsidR="000F5DAD" w:rsidRPr="00E87A5F" w:rsidTr="005F5E3C">
        <w:trPr>
          <w:trHeight w:val="467"/>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lastRenderedPageBreak/>
              <w:t>Status wnioskodawcy na rynku pracy</w:t>
            </w:r>
          </w:p>
        </w:tc>
        <w:tc>
          <w:tcPr>
            <w:tcW w:w="374" w:type="pct"/>
          </w:tcPr>
          <w:p w:rsidR="000F5DAD" w:rsidRPr="00E87A5F" w:rsidRDefault="000F5DAD" w:rsidP="00067FD0">
            <w:pPr>
              <w:pStyle w:val="Akapitzlist"/>
              <w:spacing w:after="0" w:line="240" w:lineRule="auto"/>
              <w:ind w:left="0"/>
              <w:rPr>
                <w:rFonts w:ascii="Times New Roman" w:hAnsi="Times New Roman" w:cs="Times New Roman"/>
                <w:u w:val="single"/>
              </w:rPr>
            </w:pPr>
            <w:r w:rsidRPr="00E87A5F">
              <w:rPr>
                <w:rFonts w:ascii="Times New Roman" w:hAnsi="Times New Roman" w:cs="Times New Roman"/>
              </w:rPr>
              <w:t>1.3.1</w:t>
            </w: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Migracja osób w poszukiwaniu lepszych warunków życia</w:t>
            </w:r>
          </w:p>
        </w:tc>
        <w:tc>
          <w:tcPr>
            <w:tcW w:w="2725" w:type="pct"/>
          </w:tcPr>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uruchomienia działalności.</w:t>
            </w:r>
          </w:p>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 Kryterium preferuje osoby z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ze względu na dostęp do rynku pracy, określonych w LSR jako: osoby bezrobotne i dodatkowo: bezrobotne długotrwale; bezrobotne do 35rż; bezrobotne zamieszkałe na wsi. Weryfikacja kryterium przeprowadzana będzie na podstawie zaświadczenia z PUP.  Kryterium odnosi się bezpośrednio do osiągnięcia wskaźnika: liczba nowoutworzonych firm przez osoby </w:t>
            </w:r>
            <w:proofErr w:type="spellStart"/>
            <w:r w:rsidRPr="00E87A5F">
              <w:rPr>
                <w:rFonts w:ascii="Times New Roman" w:hAnsi="Times New Roman" w:cs="Times New Roman"/>
              </w:rPr>
              <w:t>defowaryzowane</w:t>
            </w:r>
            <w:proofErr w:type="spellEnd"/>
          </w:p>
        </w:tc>
      </w:tr>
      <w:tr w:rsidR="000F5DAD" w:rsidRPr="00E87A5F" w:rsidTr="005F5E3C">
        <w:trPr>
          <w:trHeight w:val="467"/>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Wkład własny wnioskodawcy przekracza intensywność pomocy programu dla określonego wnioskodawcy</w:t>
            </w:r>
          </w:p>
        </w:tc>
        <w:tc>
          <w:tcPr>
            <w:tcW w:w="374" w:type="pct"/>
          </w:tcPr>
          <w:p w:rsidR="000F5DAD" w:rsidRPr="00E87A5F" w:rsidRDefault="000F5DAD" w:rsidP="00067FD0">
            <w:pPr>
              <w:spacing w:after="0" w:line="240" w:lineRule="auto"/>
              <w:contextualSpacing/>
              <w:rPr>
                <w:rFonts w:ascii="Times New Roman" w:hAnsi="Times New Roman" w:cs="Times New Roman"/>
              </w:rPr>
            </w:pPr>
            <w:r w:rsidRPr="00E87A5F">
              <w:rPr>
                <w:rFonts w:ascii="Times New Roman" w:hAnsi="Times New Roman" w:cs="Times New Roman"/>
              </w:rPr>
              <w:t>1.3.2</w:t>
            </w:r>
          </w:p>
        </w:tc>
        <w:tc>
          <w:tcPr>
            <w:tcW w:w="1373" w:type="pct"/>
          </w:tcPr>
          <w:p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Zapis wynika z preferencji  w dokumentach programowych.</w:t>
            </w:r>
          </w:p>
        </w:tc>
        <w:tc>
          <w:tcPr>
            <w:tcW w:w="2725" w:type="pct"/>
          </w:tcPr>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rozwijania działalności.</w:t>
            </w:r>
          </w:p>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 ramach kryterium preferowane będą operacje, w których</w:t>
            </w:r>
            <w:r w:rsidRPr="00E87A5F">
              <w:rPr>
                <w:rFonts w:ascii="Times New Roman" w:hAnsi="Times New Roman" w:cs="Times New Roman"/>
              </w:rPr>
              <w:t xml:space="preserve"> </w:t>
            </w:r>
            <w:r w:rsidRPr="00E87A5F">
              <w:rPr>
                <w:rFonts w:ascii="Times New Roman" w:hAnsi="Times New Roman" w:cs="Times New Roman"/>
                <w:lang w:eastAsia="ar-SA"/>
              </w:rPr>
              <w:t>wkład własny wnioskodawcy przekracza intensywność pomocy programu dla określonego wnioskodawcy. Kryterium odnosi się do wskaźnika: liczba rozwiniętych przedsiębiorstw, liczba utworzonych miejsc pracy</w:t>
            </w:r>
          </w:p>
        </w:tc>
      </w:tr>
      <w:tr w:rsidR="000F5DAD" w:rsidRPr="00E87A5F" w:rsidTr="005F5E3C">
        <w:trPr>
          <w:trHeight w:val="467"/>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Doświadczenie wnioskodawcy</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rsidR="000F5DAD" w:rsidRPr="00E87A5F" w:rsidRDefault="000F5DAD" w:rsidP="00067FD0">
            <w:pPr>
              <w:pStyle w:val="Akapitzlist"/>
              <w:spacing w:after="0" w:line="240" w:lineRule="auto"/>
              <w:ind w:left="0"/>
              <w:rPr>
                <w:rFonts w:ascii="Times New Roman" w:hAnsi="Times New Roman" w:cs="Times New Roman"/>
                <w:i/>
              </w:rPr>
            </w:pP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rsidR="000F5DAD" w:rsidRPr="00E87A5F" w:rsidRDefault="000F5DAD" w:rsidP="00067FD0">
            <w:pPr>
              <w:snapToGrid w:val="0"/>
              <w:spacing w:after="0" w:line="240" w:lineRule="auto"/>
              <w:rPr>
                <w:rFonts w:ascii="Times New Roman" w:hAnsi="Times New Roman" w:cs="Times New Roman"/>
              </w:rPr>
            </w:pPr>
          </w:p>
        </w:tc>
        <w:tc>
          <w:tcPr>
            <w:tcW w:w="2725" w:type="pct"/>
          </w:tcPr>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podejmowania działalności.  W ramach kryterium preferowane będą operacje, których wnioskodawca przedstawił dokumenty potwierdzające wiedzę i/lub doświadczenie w zakresie uruchamianej działalności. Kryterium uprawdopodobni zmniejszenie ryzyka wyboru operacji nieprzemyślanych przez wnioskodawcę oraz  szanse utrzymania się na rynku. Kryterium odnosi się do wskaźnika: liczba nowo utworzonych firm</w:t>
            </w:r>
            <w:r>
              <w:rPr>
                <w:rFonts w:ascii="Times New Roman" w:hAnsi="Times New Roman" w:cs="Times New Roman"/>
              </w:rPr>
              <w:t>.</w:t>
            </w:r>
          </w:p>
        </w:tc>
      </w:tr>
      <w:tr w:rsidR="000F5DAD" w:rsidRPr="00E87A5F" w:rsidTr="005F5E3C">
        <w:trPr>
          <w:trHeight w:val="467"/>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Utworzenie nowych miejsc </w:t>
            </w:r>
            <w:r w:rsidRPr="00E87A5F">
              <w:rPr>
                <w:rFonts w:ascii="Times New Roman" w:hAnsi="Times New Roman" w:cs="Times New Roman"/>
                <w:lang w:eastAsia="ar-SA"/>
              </w:rPr>
              <w:lastRenderedPageBreak/>
              <w:t>pracy</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1.3.2</w:t>
            </w:r>
          </w:p>
          <w:p w:rsidR="000F5DAD" w:rsidRPr="00E87A5F" w:rsidRDefault="000F5DAD" w:rsidP="00067FD0">
            <w:pPr>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1.3.1</w:t>
            </w:r>
          </w:p>
          <w:p w:rsidR="000F5DAD" w:rsidRPr="00E87A5F" w:rsidRDefault="000F5DAD" w:rsidP="00067FD0">
            <w:pPr>
              <w:pStyle w:val="Akapitzlist"/>
              <w:spacing w:after="0" w:line="240" w:lineRule="auto"/>
              <w:ind w:left="0"/>
              <w:rPr>
                <w:rFonts w:ascii="Times New Roman" w:hAnsi="Times New Roman" w:cs="Times New Roman"/>
              </w:rPr>
            </w:pP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 xml:space="preserve">Niedostateczna ilość miejsc pracy na lokalnym rynku </w:t>
            </w:r>
          </w:p>
          <w:p w:rsidR="000F5DAD" w:rsidRPr="00E87A5F" w:rsidRDefault="000F5DAD" w:rsidP="00067FD0">
            <w:pPr>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dochód podatkowy gmin w stosunku do średniej wojewódzkiej</w:t>
            </w:r>
          </w:p>
        </w:tc>
        <w:tc>
          <w:tcPr>
            <w:tcW w:w="2725" w:type="pct"/>
          </w:tcPr>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lastRenderedPageBreak/>
              <w:t xml:space="preserve">Kryterium stosowane do podejmowania i rozwijania działalności. W ramach kryterium preferowane jest utworzenie więcej miejsc pracy niż obowiązuje w programie. Premiować </w:t>
            </w:r>
            <w:r w:rsidRPr="00E87A5F">
              <w:rPr>
                <w:rFonts w:ascii="Times New Roman" w:hAnsi="Times New Roman" w:cs="Times New Roman"/>
              </w:rPr>
              <w:lastRenderedPageBreak/>
              <w:t>będzie tych przedsiębiorców, którzy zatrudniając pracowników zmniejszają bezrobocie. Kryterium odnosi się do wskaźników: liczba utworzonych miejsc pracy</w:t>
            </w:r>
            <w:r>
              <w:rPr>
                <w:rFonts w:ascii="Times New Roman" w:hAnsi="Times New Roman" w:cs="Times New Roman"/>
              </w:rPr>
              <w:t>.</w:t>
            </w:r>
          </w:p>
        </w:tc>
      </w:tr>
      <w:tr w:rsidR="000F5DAD" w:rsidRPr="00E87A5F" w:rsidTr="005F5E3C">
        <w:tc>
          <w:tcPr>
            <w:tcW w:w="528"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lastRenderedPageBreak/>
              <w:t>Zastosowanie rozwiązań sprzyjających ochronie środowiska lub przeciwdziałanie zmianom klimatu</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0F5DAD" w:rsidRPr="00E87A5F" w:rsidRDefault="000F5DAD" w:rsidP="00067FD0">
            <w:pPr>
              <w:spacing w:after="0" w:line="240" w:lineRule="auto"/>
              <w:rPr>
                <w:rFonts w:ascii="Times New Roman" w:hAnsi="Times New Roman" w:cs="Times New Roman"/>
              </w:rPr>
            </w:pP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rsidR="000F5DAD" w:rsidRPr="00E87A5F" w:rsidRDefault="000F5DAD" w:rsidP="00067FD0">
            <w:pPr>
              <w:spacing w:after="0" w:line="240" w:lineRule="auto"/>
              <w:rPr>
                <w:rFonts w:ascii="Times New Roman" w:hAnsi="Times New Roman" w:cs="Times New Roman"/>
              </w:rPr>
            </w:pPr>
          </w:p>
        </w:tc>
        <w:tc>
          <w:tcPr>
            <w:tcW w:w="2725"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Kryterium preferuje wszystkie operacje, które przewidują rozwiązania sprzyjające ochronie środowiska i przeciwdziałaniu zmianom klimaty jako ważne dla obszaru i w pojęciu globalnym. Wybrane ze względu na silny związek potencjału turystycznego obszaru i kierunków działań w LSR z lokalnymi walorami przyrodniczymi i zasobami naturalnymi. Konieczne jest zrównoważone wykorzystanie zasobów oraz podniesienie poziomu świadomości ekologicznej mieszkańców, niezależnie od obszaru działań i sektora. Kryterium stosowane we wszystkich operacjach. </w:t>
            </w:r>
          </w:p>
        </w:tc>
      </w:tr>
      <w:tr w:rsidR="000F5DAD" w:rsidRPr="00E87A5F" w:rsidTr="005F5E3C">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Innowacyjność operacji </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tc>
        <w:tc>
          <w:tcPr>
            <w:tcW w:w="1373" w:type="pct"/>
          </w:tcPr>
          <w:p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 xml:space="preserve">Zapis wynika z preferencji  w dokumentach programowych. </w:t>
            </w:r>
          </w:p>
        </w:tc>
        <w:tc>
          <w:tcPr>
            <w:tcW w:w="2725"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stosowane przy zakładaniu i rozwijaniu działalności preferuje działania innowacyjne rozumiane jako: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tc>
      </w:tr>
      <w:tr w:rsidR="000F5DAD" w:rsidRPr="00E87A5F" w:rsidTr="005F5E3C">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Wielkość obszaru objętego promocją</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preferuje operacje o szerszym oddziaływaniu. Zadania powinny być realizowane nie tylko na poziomie jednej gminy.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rsidTr="005F5E3C">
        <w:tc>
          <w:tcPr>
            <w:tcW w:w="528" w:type="pct"/>
          </w:tcPr>
          <w:p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 xml:space="preserve">Partnerstwo przy realizacji operacji </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współpraca podmiotów turystycznych</w:t>
            </w:r>
          </w:p>
          <w:p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stosowane w zakresie operacji związanych w promocją obszaru. Przy ocenie będzie brana pod uwagę współpraca podmiotów zajmujących się branżą turystyczna.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rsidTr="005F5E3C">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Promowanie operacji </w:t>
            </w:r>
          </w:p>
          <w:p w:rsidR="000F5DAD" w:rsidRPr="00E87A5F" w:rsidRDefault="000F5DAD" w:rsidP="00067FD0">
            <w:pPr>
              <w:snapToGrid w:val="0"/>
              <w:spacing w:after="0" w:line="240" w:lineRule="auto"/>
              <w:rPr>
                <w:rFonts w:ascii="Times New Roman" w:hAnsi="Times New Roman" w:cs="Times New Roman"/>
                <w:lang w:eastAsia="ar-SA"/>
              </w:rPr>
            </w:pP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Zapis wynika z potrzeby szerszej promocji Programu i LGD niż w okresie PROW 2007-2013. Co wynika z doświadczenia LGD. </w:t>
            </w:r>
          </w:p>
        </w:tc>
        <w:tc>
          <w:tcPr>
            <w:tcW w:w="2725" w:type="pct"/>
          </w:tcPr>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zastosowane do wszystkich operacji.  W ramach kryterium preferowane będą operacje zakładają działania promujące projekt i jego efekty wraz z promocją  LGD (min. logo LGD)  z wykorzystaniem różnorodnych narzędzi np. strony </w:t>
            </w:r>
            <w:hyperlink r:id="rId28" w:history="1">
              <w:r w:rsidRPr="00E87A5F">
                <w:rPr>
                  <w:rStyle w:val="Hipercze"/>
                  <w:rFonts w:ascii="Times New Roman" w:hAnsi="Times New Roman" w:cs="Times New Roman"/>
                  <w:color w:val="auto"/>
                  <w:u w:val="none"/>
                </w:rPr>
                <w:t>www danej organizacji</w:t>
              </w:r>
            </w:hyperlink>
            <w:r w:rsidRPr="00E87A5F">
              <w:rPr>
                <w:rFonts w:ascii="Times New Roman" w:hAnsi="Times New Roman" w:cs="Times New Roman"/>
              </w:rPr>
              <w:t xml:space="preserve">, gminy,  </w:t>
            </w:r>
            <w:proofErr w:type="spellStart"/>
            <w:r w:rsidRPr="00E87A5F">
              <w:rPr>
                <w:rFonts w:ascii="Times New Roman" w:hAnsi="Times New Roman" w:cs="Times New Roman"/>
              </w:rPr>
              <w:t>facebook</w:t>
            </w:r>
            <w:proofErr w:type="spellEnd"/>
            <w:r w:rsidRPr="00E87A5F">
              <w:rPr>
                <w:rFonts w:ascii="Times New Roman" w:hAnsi="Times New Roman" w:cs="Times New Roman"/>
              </w:rPr>
              <w:t xml:space="preserve">, prasa, portale internetowe itd. </w:t>
            </w:r>
          </w:p>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pozwoli na zwiększenie intensywności informacji o Programie i jego efektach wśród mieszkańców. </w:t>
            </w:r>
          </w:p>
        </w:tc>
      </w:tr>
      <w:tr w:rsidR="000F5DAD" w:rsidRPr="00E87A5F" w:rsidTr="005F5E3C">
        <w:trPr>
          <w:trHeight w:val="1415"/>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lastRenderedPageBreak/>
              <w:t xml:space="preserve">Udział w spotkaniach konsultacyjnych i doradczych.   </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Konieczność bardzo ścisłej współpracy beneficjenta z LGD, aby składane wnioski były najwyższej jakości.</w:t>
            </w:r>
          </w:p>
          <w:p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tc>
        <w:tc>
          <w:tcPr>
            <w:tcW w:w="2725" w:type="pct"/>
          </w:tcPr>
          <w:p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W ramach wszystkich działań preferowane będą operacje, których wnioskodawca skorzystał  ze szkoleń, konsultacji  prowadzonych przez biuro LGD. Pozwoli to na wzmocnienie efektywności działań szkoleniowych i doradczych LGD, poprawę jakości wniosków składanych do LGD, poprawa jakości działań realizowanych na obszarze, wsparcie procesu integracji różnych podmiotów w trakcie szkoleń i doradztwa – warsztaty zyskają charakter spotkań sieciujących.</w:t>
            </w:r>
          </w:p>
        </w:tc>
      </w:tr>
      <w:tr w:rsidR="000F5DAD" w:rsidRPr="00E87A5F" w:rsidTr="005F5E3C">
        <w:trPr>
          <w:trHeight w:val="1062"/>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Jakość i kompletność wniosku. </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 1.2.1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 1.3.1</w:t>
            </w:r>
          </w:p>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1.3.2</w:t>
            </w:r>
          </w:p>
        </w:tc>
        <w:tc>
          <w:tcPr>
            <w:tcW w:w="1373" w:type="pct"/>
          </w:tcPr>
          <w:p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Prawidłowy i kompletny wniosek skraca czas rozpatrzenia wniosku do podpisania umowy.</w:t>
            </w:r>
          </w:p>
        </w:tc>
        <w:tc>
          <w:tcPr>
            <w:tcW w:w="2725" w:type="pct"/>
          </w:tcPr>
          <w:p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wszystkich operacji preferowane będą wnioski kompletne, spójne, racjonalne. Pozwoli to na zmotywowanie wnioskodawcę do złożenia wniosku dobrze przygotowanego i kompletnego. Pozwoli również na zminimalizowanie ryzyka rezygnacji z realizacji operacji z uwagi na dokonanie dużej ilości poprawek w krótkim czasie.</w:t>
            </w:r>
          </w:p>
          <w:p w:rsidR="000F5DAD" w:rsidRPr="00E87A5F" w:rsidRDefault="000F5DAD" w:rsidP="00067FD0">
            <w:pPr>
              <w:pStyle w:val="Akapitzlist"/>
              <w:spacing w:after="0" w:line="240" w:lineRule="auto"/>
              <w:ind w:left="0"/>
              <w:rPr>
                <w:rFonts w:ascii="Times New Roman" w:hAnsi="Times New Roman" w:cs="Times New Roman"/>
              </w:rPr>
            </w:pPr>
          </w:p>
        </w:tc>
      </w:tr>
      <w:tr w:rsidR="000F5DAD" w:rsidRPr="00E87A5F" w:rsidTr="005F5E3C">
        <w:trPr>
          <w:trHeight w:val="1062"/>
        </w:trPr>
        <w:tc>
          <w:tcPr>
            <w:tcW w:w="528"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Stopień przyczyniania się do osiągnięcia celów oraz wskaźników produktu i rezultatu</w:t>
            </w:r>
          </w:p>
        </w:tc>
        <w:tc>
          <w:tcPr>
            <w:tcW w:w="374" w:type="pct"/>
          </w:tcPr>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1.1.3 ; 1.1.4; 1.2.1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Kryterium ważne z uwagi na potrzebę osiągania wyznaczonych celów i wskaźników przy realizacji LSR. </w:t>
            </w:r>
          </w:p>
        </w:tc>
        <w:tc>
          <w:tcPr>
            <w:tcW w:w="2725" w:type="pct"/>
          </w:tcPr>
          <w:p w:rsidR="000F5DAD" w:rsidRPr="00E87A5F" w:rsidRDefault="000F5DAD" w:rsidP="00067FD0">
            <w:pPr>
              <w:rPr>
                <w:rFonts w:ascii="Times New Roman" w:hAnsi="Times New Roman" w:cs="Times New Roman"/>
              </w:rPr>
            </w:pPr>
            <w:r w:rsidRPr="00E87A5F">
              <w:rPr>
                <w:rFonts w:ascii="Times New Roman" w:hAnsi="Times New Roman" w:cs="Times New Roman"/>
              </w:rPr>
              <w:t>Kryterium zastosowane do wszystkich operacji. W ramach operacji preferowane będą operacje, które przyczyniają się do osiągnięcia celów i wpływają na osiągnięcie wskaźników produktu i rezultatu.</w:t>
            </w:r>
          </w:p>
          <w:p w:rsidR="000F5DAD" w:rsidRPr="00E87A5F" w:rsidRDefault="000F5DAD" w:rsidP="00067FD0">
            <w:pPr>
              <w:spacing w:after="0" w:line="240" w:lineRule="auto"/>
              <w:rPr>
                <w:rFonts w:ascii="Times New Roman" w:hAnsi="Times New Roman" w:cs="Times New Roman"/>
                <w:highlight w:val="yellow"/>
              </w:rPr>
            </w:pPr>
          </w:p>
        </w:tc>
      </w:tr>
      <w:tr w:rsidR="000F5DAD" w:rsidRPr="00E87A5F" w:rsidTr="00D91119">
        <w:trPr>
          <w:trHeight w:val="1193"/>
        </w:trPr>
        <w:tc>
          <w:tcPr>
            <w:tcW w:w="528" w:type="pct"/>
          </w:tcPr>
          <w:p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Zameldowanie na obszarze</w:t>
            </w:r>
          </w:p>
        </w:tc>
        <w:tc>
          <w:tcPr>
            <w:tcW w:w="374" w:type="pct"/>
          </w:tcPr>
          <w:p w:rsidR="000F5DAD" w:rsidRPr="00D91119" w:rsidRDefault="000F5DAD" w:rsidP="00D91119">
            <w:pPr>
              <w:spacing w:after="0" w:line="240" w:lineRule="auto"/>
              <w:rPr>
                <w:rFonts w:ascii="Times New Roman" w:eastAsia="Calibri" w:hAnsi="Times New Roman" w:cs="Times New Roman"/>
              </w:rPr>
            </w:pPr>
            <w:r w:rsidRPr="00D91119">
              <w:rPr>
                <w:rFonts w:ascii="Times New Roman" w:eastAsia="Calibri" w:hAnsi="Times New Roman" w:cs="Times New Roman"/>
              </w:rPr>
              <w:t>1.3.1</w:t>
            </w:r>
          </w:p>
        </w:tc>
        <w:tc>
          <w:tcPr>
            <w:tcW w:w="1373" w:type="pct"/>
          </w:tcPr>
          <w:p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 xml:space="preserve">Kryterium zastosowane w celu uniknięcia tworzenia sztucznych warunków otrzymania pomocy czyli meldowania się osób na teren LGD tylko w celu złożenia wniosku. </w:t>
            </w:r>
          </w:p>
        </w:tc>
        <w:tc>
          <w:tcPr>
            <w:tcW w:w="2725" w:type="pct"/>
          </w:tcPr>
          <w:p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Kryterium zastosowane w działaniu podejmo</w:t>
            </w:r>
            <w:r>
              <w:rPr>
                <w:rFonts w:ascii="Times New Roman" w:eastAsia="Calibri" w:hAnsi="Times New Roman" w:cs="Times New Roman"/>
              </w:rPr>
              <w:t>wanie działalności gospodarczej</w:t>
            </w:r>
            <w:r w:rsidRPr="00D91119">
              <w:rPr>
                <w:rFonts w:ascii="Times New Roman" w:eastAsia="Calibri" w:hAnsi="Times New Roman" w:cs="Times New Roman"/>
              </w:rPr>
              <w:t xml:space="preserve"> w ramach operacji będą preferowani wnioskodawcy zamieszkali na obszarze LGD co najmniej od 6 miesięcy</w:t>
            </w:r>
          </w:p>
        </w:tc>
      </w:tr>
      <w:tr w:rsidR="000F5DAD" w:rsidRPr="00E87A5F" w:rsidTr="005F5E3C">
        <w:trPr>
          <w:trHeight w:val="1062"/>
        </w:trPr>
        <w:tc>
          <w:tcPr>
            <w:tcW w:w="528" w:type="pct"/>
          </w:tcPr>
          <w:p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Działania z zakresu edukacji ekologicznej</w:t>
            </w:r>
          </w:p>
        </w:tc>
        <w:tc>
          <w:tcPr>
            <w:tcW w:w="374" w:type="pct"/>
          </w:tcPr>
          <w:p w:rsidR="000F5DAD" w:rsidRPr="00D91119" w:rsidRDefault="000F5DAD" w:rsidP="000C6A32">
            <w:pPr>
              <w:spacing w:after="0" w:line="240" w:lineRule="auto"/>
              <w:rPr>
                <w:rFonts w:ascii="Times New Roman" w:eastAsia="Calibri" w:hAnsi="Times New Roman" w:cs="Times New Roman"/>
              </w:rPr>
            </w:pPr>
            <w:r w:rsidRPr="00D91119">
              <w:rPr>
                <w:rFonts w:ascii="Times New Roman" w:eastAsia="Calibri" w:hAnsi="Times New Roman" w:cs="Times New Roman"/>
              </w:rPr>
              <w:t>1.2.1</w:t>
            </w:r>
          </w:p>
        </w:tc>
        <w:tc>
          <w:tcPr>
            <w:tcW w:w="1373" w:type="pct"/>
          </w:tcPr>
          <w:p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Kryterium ważne z punktu widzenia ochrony ekologii i niskiego poziomu wiedzy społeczeństwa w tym zakresie.</w:t>
            </w:r>
          </w:p>
        </w:tc>
        <w:tc>
          <w:tcPr>
            <w:tcW w:w="2725" w:type="pct"/>
          </w:tcPr>
          <w:p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 xml:space="preserve">Kryterium zastosowane w działaniu projekty grantowe w działaniu </w:t>
            </w:r>
            <w:proofErr w:type="spellStart"/>
            <w:r w:rsidRPr="00D91119">
              <w:rPr>
                <w:rFonts w:ascii="Times New Roman" w:eastAsia="Calibri" w:hAnsi="Times New Roman" w:cs="Times New Roman"/>
              </w:rPr>
              <w:t>nieinwestycyjnym</w:t>
            </w:r>
            <w:proofErr w:type="spellEnd"/>
          </w:p>
        </w:tc>
      </w:tr>
      <w:tr w:rsidR="00CC0D44" w:rsidRPr="00E87A5F" w:rsidTr="005F5E3C">
        <w:trPr>
          <w:trHeight w:val="1062"/>
        </w:trPr>
        <w:tc>
          <w:tcPr>
            <w:tcW w:w="528" w:type="pct"/>
          </w:tcPr>
          <w:p w:rsidR="00CC0D44" w:rsidRPr="00CC0D44" w:rsidRDefault="00CC0D44" w:rsidP="00BC2834">
            <w:pPr>
              <w:snapToGrid w:val="0"/>
              <w:spacing w:after="0" w:line="240" w:lineRule="auto"/>
              <w:rPr>
                <w:rFonts w:ascii="Times New Roman" w:hAnsi="Times New Roman" w:cs="Times New Roman"/>
                <w:lang w:eastAsia="ar-SA"/>
              </w:rPr>
            </w:pPr>
            <w:r w:rsidRPr="00CC0D44">
              <w:rPr>
                <w:rFonts w:ascii="Times New Roman" w:hAnsi="Times New Roman" w:cs="Times New Roman"/>
                <w:lang w:eastAsia="ar-SA"/>
              </w:rPr>
              <w:t>Atrakcyjność</w:t>
            </w:r>
          </w:p>
          <w:p w:rsidR="00CC0D44" w:rsidRPr="00CC0D44" w:rsidRDefault="00CC0D44" w:rsidP="00BC2834">
            <w:pPr>
              <w:snapToGrid w:val="0"/>
              <w:spacing w:after="0" w:line="240" w:lineRule="auto"/>
              <w:rPr>
                <w:rFonts w:ascii="Times New Roman" w:hAnsi="Times New Roman" w:cs="Times New Roman"/>
                <w:lang w:eastAsia="ar-SA"/>
              </w:rPr>
            </w:pPr>
            <w:r w:rsidRPr="00CC0D44">
              <w:rPr>
                <w:rFonts w:ascii="Times New Roman" w:hAnsi="Times New Roman" w:cs="Times New Roman"/>
                <w:lang w:eastAsia="ar-SA"/>
              </w:rPr>
              <w:t>projektu</w:t>
            </w:r>
          </w:p>
        </w:tc>
        <w:tc>
          <w:tcPr>
            <w:tcW w:w="374" w:type="pct"/>
          </w:tcPr>
          <w:p w:rsidR="00CC0D44" w:rsidRPr="00CC0D44" w:rsidRDefault="00CC0D44" w:rsidP="00BC2834">
            <w:pPr>
              <w:spacing w:after="0" w:line="240" w:lineRule="auto"/>
              <w:rPr>
                <w:rFonts w:ascii="Times New Roman" w:hAnsi="Times New Roman" w:cs="Times New Roman"/>
              </w:rPr>
            </w:pPr>
            <w:r w:rsidRPr="00CC0D44">
              <w:rPr>
                <w:rFonts w:ascii="Times New Roman" w:hAnsi="Times New Roman" w:cs="Times New Roman"/>
              </w:rPr>
              <w:t>1.1.1</w:t>
            </w:r>
          </w:p>
          <w:p w:rsidR="00CC0D44" w:rsidRPr="00CC0D44" w:rsidRDefault="00CC0D44" w:rsidP="00BC2834">
            <w:pPr>
              <w:spacing w:after="0" w:line="240" w:lineRule="auto"/>
              <w:rPr>
                <w:rFonts w:ascii="Times New Roman" w:hAnsi="Times New Roman" w:cs="Times New Roman"/>
              </w:rPr>
            </w:pPr>
            <w:r w:rsidRPr="00CC0D44">
              <w:rPr>
                <w:rFonts w:ascii="Times New Roman" w:hAnsi="Times New Roman" w:cs="Times New Roman"/>
              </w:rPr>
              <w:t>1.1.2</w:t>
            </w:r>
          </w:p>
          <w:p w:rsidR="00CC0D44" w:rsidRPr="00CC0D44" w:rsidRDefault="00CC0D44" w:rsidP="00BC2834">
            <w:pPr>
              <w:spacing w:after="0" w:line="240" w:lineRule="auto"/>
              <w:rPr>
                <w:rFonts w:ascii="Times New Roman" w:hAnsi="Times New Roman" w:cs="Times New Roman"/>
              </w:rPr>
            </w:pPr>
            <w:r w:rsidRPr="00CC0D44">
              <w:rPr>
                <w:rFonts w:ascii="Times New Roman" w:hAnsi="Times New Roman" w:cs="Times New Roman"/>
              </w:rPr>
              <w:t>1.1.4</w:t>
            </w:r>
          </w:p>
          <w:p w:rsidR="00CC0D44" w:rsidRPr="00CC0D44" w:rsidRDefault="00CC0D44" w:rsidP="00BC2834">
            <w:pPr>
              <w:spacing w:after="0" w:line="240" w:lineRule="auto"/>
              <w:rPr>
                <w:rFonts w:ascii="Times New Roman" w:hAnsi="Times New Roman" w:cs="Times New Roman"/>
                <w:strike/>
              </w:rPr>
            </w:pPr>
            <w:r w:rsidRPr="00CC0D44">
              <w:rPr>
                <w:rFonts w:ascii="Times New Roman" w:hAnsi="Times New Roman" w:cs="Times New Roman"/>
              </w:rPr>
              <w:t>1.2.1</w:t>
            </w:r>
          </w:p>
        </w:tc>
        <w:tc>
          <w:tcPr>
            <w:tcW w:w="1373" w:type="pct"/>
          </w:tcPr>
          <w:p w:rsidR="00CC0D44" w:rsidRPr="00105D89" w:rsidRDefault="00CC0D44" w:rsidP="001E2275">
            <w:r w:rsidRPr="00105D89">
              <w:t>Na obszarze odbywa się mało działań które cechują się np. nowymi pomysłami, atrakcyjnością działań lub nowatorskim podejściem.</w:t>
            </w:r>
          </w:p>
        </w:tc>
        <w:tc>
          <w:tcPr>
            <w:tcW w:w="2725" w:type="pct"/>
          </w:tcPr>
          <w:p w:rsidR="00CC0D44" w:rsidRDefault="00CC0D44" w:rsidP="001E2275">
            <w:r w:rsidRPr="00105D89">
              <w:t>W ramach kryterium preferowane będą działania lub zajęcia, które wcześniej nie były realizowane w danej społeczności, wykorzystujące nowe metody, atrakcyjne i ciekawe pomysły.</w:t>
            </w:r>
          </w:p>
        </w:tc>
      </w:tr>
    </w:tbl>
    <w:p w:rsidR="005F5E3C" w:rsidRPr="00E87A5F" w:rsidRDefault="005F5E3C" w:rsidP="005F5E3C">
      <w:pPr>
        <w:rPr>
          <w:rFonts w:ascii="Times New Roman" w:hAnsi="Times New Roman" w:cs="Times New Roman"/>
        </w:rPr>
        <w:sectPr w:rsidR="005F5E3C" w:rsidRPr="00E87A5F" w:rsidSect="00067FD0">
          <w:type w:val="nextColumn"/>
          <w:pgSz w:w="16838" w:h="11906" w:orient="landscape"/>
          <w:pgMar w:top="567" w:right="567" w:bottom="567" w:left="851" w:header="709" w:footer="709" w:gutter="0"/>
          <w:cols w:space="708"/>
          <w:docGrid w:linePitch="360"/>
        </w:sectPr>
      </w:pP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lastRenderedPageBreak/>
        <w:t>Innowacyjność w kryteriach wyboru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Operacje innowacyjne będą premiowane w ramach wyboru operacji  na przedsięwzięcia 1.3.1 Wspieranie tworzenia nowych podmiotów gospodarczych</w:t>
      </w:r>
      <w:r w:rsidR="00D5430E">
        <w:rPr>
          <w:rFonts w:ascii="Times New Roman" w:hAnsi="Times New Roman" w:cs="Times New Roman"/>
        </w:rPr>
        <w:t xml:space="preserve"> </w:t>
      </w:r>
      <w:r w:rsidR="00D5430E" w:rsidRPr="00D5430E">
        <w:rPr>
          <w:rFonts w:ascii="Times New Roman" w:hAnsi="Times New Roman" w:cs="Times New Roman"/>
        </w:rPr>
        <w:t xml:space="preserve">dla osób fizycznych oraz osób 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35roku życia, bezrobotnych zamieszkałych na wsi</w:t>
      </w:r>
      <w:r w:rsidR="00D5430E">
        <w:rPr>
          <w:rFonts w:ascii="Times New Roman" w:hAnsi="Times New Roman" w:cs="Times New Roman"/>
        </w:rPr>
        <w:t xml:space="preserve"> )</w:t>
      </w:r>
      <w:r w:rsidRPr="00E87A5F">
        <w:rPr>
          <w:rFonts w:ascii="Times New Roman" w:hAnsi="Times New Roman" w:cs="Times New Roman"/>
        </w:rPr>
        <w:t xml:space="preserve"> i 1.3.2 Rozwijanie podmiotów gospodarczych w kluczowych branżach dla regionu. W kryteriach wyboru tych operacji została określona następująca definicja innowacyjności: 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 Kryterium będzie weryfikowane na podstawie zapisów w dokumentach aplikacyjnych, popartych załączonymi dokumentami i materiałami poświadczającymi, że zastosowane rozwiązania mają taki charakter.</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Projekty grantowe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Rozdziale V Cele i wskaźniki wskazano przedsięwzięcia wdrażane z wykorzystaniem grantów.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Minimalna kwota przyznanego grantu nie może być mniejsza od kwoty określonej w obowiązujących przepisach prawa. Maksymalna kwota przyznanego grantu nie może być większa od kwoty określonej w obowiązujących przepisach prawa.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celu realizacji wskaźników LSR zakłada, ze maksymalna kwota pojedynczego grantu nie będzie wyższa niż 30.000 zł. </w:t>
      </w:r>
    </w:p>
    <w:p w:rsidR="005F5E3C" w:rsidRPr="00E87A5F" w:rsidRDefault="005F5E3C" w:rsidP="005F5E3C">
      <w:pPr>
        <w:spacing w:after="0" w:line="240" w:lineRule="auto"/>
        <w:jc w:val="both"/>
        <w:rPr>
          <w:rFonts w:ascii="Times New Roman" w:hAnsi="Times New Roman" w:cs="Times New Roman"/>
        </w:rPr>
      </w:pPr>
      <w:proofErr w:type="spellStart"/>
      <w:r w:rsidRPr="00E87A5F">
        <w:rPr>
          <w:rFonts w:ascii="Times New Roman" w:hAnsi="Times New Roman" w:cs="Times New Roman"/>
        </w:rPr>
        <w:t>Grantobiorca</w:t>
      </w:r>
      <w:proofErr w:type="spellEnd"/>
      <w:r w:rsidRPr="00E87A5F">
        <w:rPr>
          <w:rFonts w:ascii="Times New Roman" w:hAnsi="Times New Roman" w:cs="Times New Roman"/>
        </w:rPr>
        <w:t xml:space="preserve"> może wnieść wkład własny finansowy i niefinansowy w postaci wkładu rzeczowego i pracy własnej wg. obowiązujących przepisów i stawek w Programie.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Ponadto wysoko premiowane będą operacji, które odpowiadają na potrzeby społeczne, i angażują społeczność lokalną na rzecz dobra wspólnego.</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Operacje własne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LGD Kwiat Lnu nie przewidziała w ramach budżetu realizację </w:t>
      </w:r>
      <w:r w:rsidRPr="00E87A5F">
        <w:rPr>
          <w:rFonts w:ascii="Times New Roman" w:hAnsi="Times New Roman" w:cs="Times New Roman"/>
          <w:u w:val="single"/>
        </w:rPr>
        <w:t>projektów własnych.</w:t>
      </w:r>
      <w:r w:rsidRPr="00E87A5F">
        <w:rPr>
          <w:rFonts w:ascii="Times New Roman" w:hAnsi="Times New Roman" w:cs="Times New Roman"/>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Wysokość wsparcia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Intensywność pomocy:</w:t>
      </w:r>
      <w:r w:rsidRPr="00E87A5F">
        <w:rPr>
          <w:rFonts w:ascii="Times New Roman" w:hAnsi="Times New Roman" w:cs="Times New Roman"/>
        </w:rPr>
        <w:t xml:space="preserve"> w przypadku operacji w ramach przedsięwzięcia 1.3.1 Wspieranie tworzenia nowych podmiotów gospodarczych</w:t>
      </w:r>
      <w:r w:rsidR="00D5430E">
        <w:rPr>
          <w:rFonts w:ascii="Times New Roman" w:hAnsi="Times New Roman" w:cs="Times New Roman"/>
        </w:rPr>
        <w:t xml:space="preserve"> dla osób fizycznych oraz osób </w:t>
      </w:r>
      <w:r w:rsidR="00D5430E" w:rsidRPr="00D5430E">
        <w:rPr>
          <w:rFonts w:ascii="Times New Roman" w:hAnsi="Times New Roman" w:cs="Times New Roman"/>
        </w:rPr>
        <w:t xml:space="preserve">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w:t>
      </w:r>
      <w:r w:rsidR="00D5430E">
        <w:rPr>
          <w:rFonts w:ascii="Times New Roman" w:hAnsi="Times New Roman" w:cs="Times New Roman"/>
        </w:rPr>
        <w:t xml:space="preserve"> </w:t>
      </w:r>
      <w:r w:rsidR="00D5430E" w:rsidRPr="00D5430E">
        <w:rPr>
          <w:rFonts w:ascii="Times New Roman" w:hAnsi="Times New Roman" w:cs="Times New Roman"/>
        </w:rPr>
        <w:t>roku życia, bezrobotnych zamieszkałych na wsi</w:t>
      </w:r>
      <w:r w:rsidRPr="00E87A5F">
        <w:rPr>
          <w:rFonts w:ascii="Times New Roman" w:hAnsi="Times New Roman" w:cs="Times New Roman"/>
        </w:rPr>
        <w:t xml:space="preserve"> </w:t>
      </w:r>
      <w:r w:rsidR="00D5430E">
        <w:rPr>
          <w:rFonts w:ascii="Times New Roman" w:hAnsi="Times New Roman" w:cs="Times New Roman"/>
        </w:rPr>
        <w:t xml:space="preserve">) </w:t>
      </w:r>
      <w:r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D5430E">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w:t>
      </w:r>
      <w:r w:rsidR="00075898">
        <w:rPr>
          <w:rFonts w:ascii="Times New Roman" w:hAnsi="Times New Roman" w:cs="Times New Roman"/>
        </w:rPr>
        <w:t xml:space="preserve"> tym</w:t>
      </w:r>
      <w:r w:rsidRPr="00E87A5F">
        <w:rPr>
          <w:rFonts w:ascii="Times New Roman" w:hAnsi="Times New Roman" w:cs="Times New Roman"/>
        </w:rPr>
        <w:t xml:space="preserve"> kluczowych branżach dla regionu. Każdorazowo na etapie wyboru operacji LGD premiować będzie jednak operacje, w ramach których wnioskodawca przewidział wniesienie wkładu własnego wyższego niż wymagany.</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w:t>
      </w:r>
      <w:r w:rsidR="00D5430E">
        <w:rPr>
          <w:rFonts w:ascii="Times New Roman" w:hAnsi="Times New Roman" w:cs="Times New Roman"/>
        </w:rPr>
        <w:t>nie wyżej niż</w:t>
      </w:r>
      <w:r w:rsidRPr="00E87A5F">
        <w:rPr>
          <w:rFonts w:ascii="Times New Roman" w:hAnsi="Times New Roman" w:cs="Times New Roman"/>
        </w:rPr>
        <w:t xml:space="preserve"> 63,63% kosztów kwalifikowanych w przypadku operacji realizowanych przez jednostki sektora finansów publicznych,</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rsidR="005F5E3C" w:rsidRPr="00E87A5F" w:rsidRDefault="005F5E3C" w:rsidP="005F5E3C">
      <w:pPr>
        <w:pStyle w:val="Nagwek1"/>
        <w:rPr>
          <w:rFonts w:ascii="Times New Roman" w:hAnsi="Times New Roman" w:cs="Times New Roman"/>
          <w:sz w:val="22"/>
          <w:szCs w:val="22"/>
        </w:rPr>
      </w:pPr>
      <w:bookmarkStart w:id="74" w:name="_Toc439184075"/>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VII Plan działania</w:t>
      </w:r>
      <w:bookmarkEnd w:id="74"/>
    </w:p>
    <w:p w:rsidR="005F5E3C" w:rsidRPr="00E87A5F" w:rsidRDefault="005F5E3C" w:rsidP="005F5E3C">
      <w:pPr>
        <w:rPr>
          <w:rFonts w:ascii="Times New Roman" w:hAnsi="Times New Roman" w:cs="Times New Roman"/>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Przedstawiony poniżej plan działania opiera się na następujących założeniach:</w:t>
      </w:r>
    </w:p>
    <w:p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kwoty budżetu, w kolumnach „Planowane wsparcie w PLN”, uwzględniają rok opublikowania informacji o prowadzonym naborze, konkursie, a projektów współpracy i grantowych rok złożenia wniosku o przyznanie pomocy,</w:t>
      </w:r>
    </w:p>
    <w:p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 xml:space="preserve">przyjęte wartości wskaźników, w kolumnach „Wartość z jednostką miary” oraz „% realizacji wskaźnika narastająco”, uwzględniają rok, w którym potencjalny beneficjent, </w:t>
      </w:r>
      <w:proofErr w:type="spellStart"/>
      <w:r w:rsidRPr="00E87A5F">
        <w:rPr>
          <w:rFonts w:ascii="Times New Roman" w:hAnsi="Times New Roman" w:cs="Times New Roman"/>
        </w:rPr>
        <w:t>grantobiorca</w:t>
      </w:r>
      <w:proofErr w:type="spellEnd"/>
      <w:r w:rsidRPr="00E87A5F">
        <w:rPr>
          <w:rFonts w:ascii="Times New Roman" w:hAnsi="Times New Roman" w:cs="Times New Roman"/>
        </w:rPr>
        <w:t xml:space="preserve"> otrzyma refundację poniesionych kosztów. Z uwagi dwuletni okres realizacji operacji oraz na doświadczenia z wdrażania Lokalnej Strategii Rozwoju na lata 2007-2013, a w szczególności opóźnienia na etapie sprawdzania pod względem formalnym wniosków o przyznanie pomocy, jak również wniosków o płatność, założono, że od opublikowania informacji </w:t>
      </w:r>
      <w:r w:rsidRPr="00E87A5F">
        <w:rPr>
          <w:rFonts w:ascii="Times New Roman" w:hAnsi="Times New Roman" w:cs="Times New Roman"/>
        </w:rPr>
        <w:lastRenderedPageBreak/>
        <w:t>o prowadzonym naborze, konkursie do refundacji poniesionych kosztów w szczególnych przypadkach mogą minąć trzy lata. Stąd przyjęto, że część wskaźników dla konkursów ogłaszanych w latach 2016-2018 zostanie osiągnięta w okresie 2019-2021;</w:t>
      </w:r>
    </w:p>
    <w:p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wartości wskaźników dla projektów współpracy i grantowych uwzględniają ww. założenie, jak również w przypadku projektów współpracy fakt odmienności procedur związanych z ich wyborem w innych krajach europejskich, co może opóźnić podpisanie umowy, jak również refundację kosztów przedstawionych w ostatnim wniosku o płatność</w:t>
      </w:r>
    </w:p>
    <w:p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Bieżący monitoring realizacji wskaźników będzie odbywał się zgodnie z zapisami w rozdziale XI monitoring i ewaluacja</w:t>
      </w:r>
    </w:p>
    <w:p w:rsidR="005F5E3C" w:rsidRPr="00E87A5F" w:rsidRDefault="005F5E3C" w:rsidP="005F5E3C">
      <w:pPr>
        <w:pStyle w:val="Nagwek1"/>
        <w:rPr>
          <w:rFonts w:ascii="Times New Roman" w:hAnsi="Times New Roman" w:cs="Times New Roman"/>
          <w:sz w:val="22"/>
          <w:szCs w:val="22"/>
        </w:rPr>
      </w:pPr>
      <w:bookmarkStart w:id="75" w:name="_Toc439184076"/>
      <w:r w:rsidRPr="00E87A5F">
        <w:rPr>
          <w:rFonts w:ascii="Times New Roman" w:hAnsi="Times New Roman" w:cs="Times New Roman"/>
          <w:sz w:val="22"/>
          <w:szCs w:val="22"/>
        </w:rPr>
        <w:t>Rozdział VIII Budżet LSR</w:t>
      </w:r>
      <w:bookmarkEnd w:id="75"/>
    </w:p>
    <w:p w:rsidR="005F5E3C" w:rsidRPr="00E87A5F" w:rsidRDefault="005F5E3C" w:rsidP="005F5E3C">
      <w:pPr>
        <w:pStyle w:val="Default"/>
        <w:rPr>
          <w:rFonts w:eastAsiaTheme="minorHAnsi"/>
          <w:color w:val="auto"/>
          <w:sz w:val="22"/>
          <w:szCs w:val="22"/>
          <w:lang w:eastAsia="en-US"/>
        </w:rPr>
      </w:pPr>
    </w:p>
    <w:p w:rsidR="005F5E3C" w:rsidRPr="00E87A5F" w:rsidRDefault="005F5E3C" w:rsidP="005F5E3C">
      <w:pPr>
        <w:pStyle w:val="Default"/>
        <w:rPr>
          <w:rFonts w:eastAsiaTheme="minorHAnsi"/>
          <w:color w:val="auto"/>
          <w:sz w:val="22"/>
          <w:szCs w:val="22"/>
          <w:lang w:eastAsia="en-US"/>
        </w:rPr>
      </w:pPr>
    </w:p>
    <w:p w:rsidR="005F5E3C" w:rsidRPr="00E87A5F" w:rsidRDefault="005F5E3C" w:rsidP="005F5E3C">
      <w:pPr>
        <w:pStyle w:val="Default"/>
        <w:rPr>
          <w:b/>
          <w:sz w:val="22"/>
          <w:szCs w:val="22"/>
        </w:rPr>
      </w:pPr>
      <w:r w:rsidRPr="00E87A5F">
        <w:rPr>
          <w:b/>
          <w:sz w:val="22"/>
          <w:szCs w:val="22"/>
        </w:rPr>
        <w:t>Ogólna charakterystyka budżetu w tym wskazanie funduszy EFSI stanowiących źródło finansowania LSR w latach 2014-2020</w:t>
      </w:r>
    </w:p>
    <w:p w:rsidR="005F5E3C" w:rsidRPr="00E87A5F" w:rsidRDefault="005F5E3C" w:rsidP="005F5E3C">
      <w:pPr>
        <w:pStyle w:val="Default"/>
        <w:rPr>
          <w:sz w:val="22"/>
          <w:szCs w:val="22"/>
        </w:rPr>
      </w:pPr>
      <w:r w:rsidRPr="00E87A5F">
        <w:rPr>
          <w:sz w:val="22"/>
          <w:szCs w:val="22"/>
        </w:rPr>
        <w:t>Lokalna Strategia Rozwoju na lata 2014-2020 będzie finansowana w całości z Europejskiego Funduszu Rolnego na rzecz Rozwoju Obszarów Wiejskich.</w:t>
      </w:r>
    </w:p>
    <w:p w:rsidR="005F5E3C" w:rsidRPr="00E87A5F" w:rsidRDefault="005F5E3C" w:rsidP="005F5E3C">
      <w:pPr>
        <w:pStyle w:val="Default"/>
        <w:rPr>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18</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Look w:val="04A0" w:firstRow="1" w:lastRow="0" w:firstColumn="1" w:lastColumn="0" w:noHBand="0" w:noVBand="1"/>
      </w:tblPr>
      <w:tblGrid>
        <w:gridCol w:w="6457"/>
        <w:gridCol w:w="1795"/>
        <w:gridCol w:w="2347"/>
      </w:tblGrid>
      <w:tr w:rsidR="005F5E3C" w:rsidRPr="00E87A5F" w:rsidTr="00067FD0">
        <w:trPr>
          <w:trHeight w:val="315"/>
        </w:trPr>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rsidTr="00067FD0">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rsidTr="00067FD0">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D947F3" w:rsidRPr="00E87A5F" w:rsidTr="00067FD0">
        <w:tc>
          <w:tcPr>
            <w:tcW w:w="3046" w:type="pct"/>
          </w:tcPr>
          <w:p w:rsidR="00D947F3" w:rsidRPr="00E87A5F" w:rsidRDefault="00D947F3"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c>
          <w:tcPr>
            <w:tcW w:w="1107" w:type="pct"/>
          </w:tcPr>
          <w:p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r>
      <w:tr w:rsidR="00D947F3" w:rsidRPr="00E87A5F" w:rsidTr="00067FD0">
        <w:tc>
          <w:tcPr>
            <w:tcW w:w="3046" w:type="pct"/>
          </w:tcPr>
          <w:p w:rsidR="00D947F3" w:rsidRPr="00E87A5F" w:rsidRDefault="00D947F3"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c>
          <w:tcPr>
            <w:tcW w:w="1107" w:type="pct"/>
          </w:tcPr>
          <w:p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r>
      <w:tr w:rsidR="005F5E3C" w:rsidRPr="00E87A5F" w:rsidTr="00067FD0">
        <w:tc>
          <w:tcPr>
            <w:tcW w:w="3046" w:type="pct"/>
            <w:shd w:val="solid" w:color="D9D9D9" w:themeColor="background1" w:themeShade="D9" w:fill="auto"/>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rsidR="005F5E3C" w:rsidRPr="00E87A5F" w:rsidRDefault="005F5E3C" w:rsidP="005F5E3C">
      <w:pPr>
        <w:pStyle w:val="Default"/>
        <w:rPr>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19</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2014-20120</w:t>
      </w:r>
    </w:p>
    <w:tbl>
      <w:tblPr>
        <w:tblStyle w:val="Tabela-Siatka"/>
        <w:tblW w:w="4951" w:type="pct"/>
        <w:tblLook w:val="04A0" w:firstRow="1" w:lastRow="0" w:firstColumn="1" w:lastColumn="0" w:noHBand="0" w:noVBand="1"/>
      </w:tblPr>
      <w:tblGrid>
        <w:gridCol w:w="3281"/>
        <w:gridCol w:w="1380"/>
        <w:gridCol w:w="1520"/>
        <w:gridCol w:w="3038"/>
        <w:gridCol w:w="1380"/>
      </w:tblGrid>
      <w:tr w:rsidR="005F5E3C" w:rsidRPr="00E87A5F" w:rsidTr="00067FD0">
        <w:tc>
          <w:tcPr>
            <w:tcW w:w="1548" w:type="pct"/>
          </w:tcPr>
          <w:p w:rsidR="005F5E3C" w:rsidRPr="00E87A5F" w:rsidRDefault="005F5E3C" w:rsidP="00067FD0">
            <w:pPr>
              <w:rPr>
                <w:rFonts w:ascii="Times New Roman" w:hAnsi="Times New Roman" w:cs="Times New Roman"/>
              </w:rPr>
            </w:pPr>
          </w:p>
        </w:tc>
        <w:tc>
          <w:tcPr>
            <w:tcW w:w="651"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rsidTr="00067FD0">
        <w:tc>
          <w:tcPr>
            <w:tcW w:w="1548" w:type="pct"/>
            <w:vAlign w:val="center"/>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889635</wp:posOffset>
                      </wp:positionH>
                      <wp:positionV relativeFrom="paragraph">
                        <wp:posOffset>-1270</wp:posOffset>
                      </wp:positionV>
                      <wp:extent cx="2009140" cy="285750"/>
                      <wp:effectExtent l="0" t="0" r="29210" b="19050"/>
                      <wp:wrapNone/>
                      <wp:docPr id="23"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EEDD6C9" id="Łącznik prostoliniowy 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889635</wp:posOffset>
                      </wp:positionH>
                      <wp:positionV relativeFrom="paragraph">
                        <wp:posOffset>42545</wp:posOffset>
                      </wp:positionV>
                      <wp:extent cx="2009140" cy="241935"/>
                      <wp:effectExtent l="0" t="0" r="29210" b="24765"/>
                      <wp:wrapNone/>
                      <wp:docPr id="19"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E38A24" id="Łącznik prostoliniowy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35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" strokecolor="black [3213]">
                      <o:lock v:ext="edit" shapetype="f"/>
                    </v:line>
                  </w:pict>
                </mc:Fallback>
              </mc:AlternateContent>
            </w:r>
            <w:r w:rsidR="005F5E3C" w:rsidRPr="00E87A5F">
              <w:rPr>
                <w:rFonts w:ascii="Times New Roman" w:hAnsi="Times New Roman" w:cs="Times New Roman"/>
              </w:rPr>
              <w:t>2 298 584,00</w:t>
            </w:r>
          </w:p>
        </w:tc>
        <w:tc>
          <w:tcPr>
            <w:tcW w:w="1433" w:type="pct"/>
          </w:tcPr>
          <w:p w:rsidR="005F5E3C" w:rsidRPr="00E87A5F" w:rsidRDefault="005F5E3C" w:rsidP="00067FD0">
            <w:pPr>
              <w:jc w:val="center"/>
              <w:rPr>
                <w:rFonts w:ascii="Times New Roman" w:hAnsi="Times New Roman" w:cs="Times New Roman"/>
              </w:rPr>
            </w:pP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rsidTr="00067FD0">
        <w:tc>
          <w:tcPr>
            <w:tcW w:w="1548" w:type="pct"/>
            <w:tcBorders>
              <w:bottom w:val="single" w:sz="4" w:space="0" w:color="auto"/>
            </w:tcBorders>
            <w:vAlign w:val="center"/>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-34290</wp:posOffset>
                      </wp:positionH>
                      <wp:positionV relativeFrom="paragraph">
                        <wp:posOffset>33020</wp:posOffset>
                      </wp:positionV>
                      <wp:extent cx="923925" cy="273050"/>
                      <wp:effectExtent l="0" t="0" r="28575" b="31750"/>
                      <wp:wrapNone/>
                      <wp:docPr id="1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D91E40" id="Łącznik prostoliniowy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simplePos x="0" y="0"/>
                      <wp:positionH relativeFrom="column">
                        <wp:posOffset>-34290</wp:posOffset>
                      </wp:positionH>
                      <wp:positionV relativeFrom="paragraph">
                        <wp:posOffset>33020</wp:posOffset>
                      </wp:positionV>
                      <wp:extent cx="923925" cy="260350"/>
                      <wp:effectExtent l="0" t="0" r="28575" b="25400"/>
                      <wp:wrapNone/>
                      <wp:docPr id="17"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80D23C" id="Łącznik prostoliniowy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" strokecolor="black [3213]">
                      <o:lock v:ext="edit" shapetype="f"/>
                    </v:line>
                  </w:pict>
                </mc:Fallback>
              </mc:AlternateContent>
            </w:r>
          </w:p>
        </w:tc>
        <w:tc>
          <w:tcPr>
            <w:tcW w:w="1433"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rsidTr="00067FD0">
        <w:trPr>
          <w:trHeight w:val="64"/>
        </w:trPr>
        <w:tc>
          <w:tcPr>
            <w:tcW w:w="1548" w:type="pct"/>
            <w:shd w:val="solid" w:color="D9D9D9" w:themeColor="background1" w:themeShade="D9" w:fill="auto"/>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rsidR="005F5E3C" w:rsidRPr="00E87A5F" w:rsidRDefault="005F5E3C" w:rsidP="005F5E3C">
      <w:pPr>
        <w:spacing w:after="0" w:line="240" w:lineRule="auto"/>
        <w:rPr>
          <w:rFonts w:ascii="Times New Roman" w:hAnsi="Times New Roman" w:cs="Times New Roman"/>
          <w:b/>
        </w:rPr>
      </w:pPr>
    </w:p>
    <w:p w:rsidR="005F5E3C" w:rsidRPr="00E87A5F" w:rsidRDefault="005F5E3C" w:rsidP="005F5E3C">
      <w:pPr>
        <w:spacing w:after="0" w:line="240" w:lineRule="auto"/>
        <w:rPr>
          <w:rFonts w:ascii="Times New Roman" w:hAnsi="Times New Roman" w:cs="Times New Roman"/>
          <w:b/>
        </w:rPr>
      </w:pPr>
    </w:p>
    <w:p w:rsidR="005F5E3C" w:rsidRPr="00E87A5F" w:rsidRDefault="005F5E3C" w:rsidP="005F5E3C">
      <w:pPr>
        <w:spacing w:after="0" w:line="240" w:lineRule="auto"/>
        <w:rPr>
          <w:rFonts w:ascii="Times New Roman" w:hAnsi="Times New Roman" w:cs="Times New Roman"/>
          <w:b/>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20</w:t>
      </w:r>
      <w:r w:rsidR="004F4A74" w:rsidRPr="00E87A5F">
        <w:rPr>
          <w:rFonts w:ascii="Times New Roman" w:hAnsi="Times New Roman"/>
          <w:sz w:val="22"/>
          <w:szCs w:val="22"/>
        </w:rPr>
        <w:fldChar w:fldCharType="end"/>
      </w:r>
      <w:r w:rsidRPr="00E87A5F">
        <w:rPr>
          <w:rFonts w:ascii="Times New Roman" w:hAnsi="Times New Roman"/>
          <w:noProof/>
          <w:sz w:val="22"/>
          <w:szCs w:val="22"/>
        </w:rPr>
        <w:t xml:space="preserve"> . Budżet powiązany z celami</w:t>
      </w:r>
    </w:p>
    <w:tbl>
      <w:tblPr>
        <w:tblStyle w:val="Tabela-Siatka"/>
        <w:tblW w:w="4951" w:type="pct"/>
        <w:shd w:val="clear" w:color="auto" w:fill="FFFFFF" w:themeFill="background1"/>
        <w:tblLayout w:type="fixed"/>
        <w:tblLook w:val="04A0" w:firstRow="1" w:lastRow="0" w:firstColumn="1" w:lastColumn="0" w:noHBand="0" w:noVBand="1"/>
      </w:tblPr>
      <w:tblGrid>
        <w:gridCol w:w="1901"/>
        <w:gridCol w:w="2900"/>
        <w:gridCol w:w="4280"/>
        <w:gridCol w:w="1518"/>
      </w:tblGrid>
      <w:tr w:rsidR="005F5E3C" w:rsidRPr="00E87A5F" w:rsidTr="00067FD0">
        <w:trPr>
          <w:trHeight w:val="126"/>
        </w:trPr>
        <w:tc>
          <w:tcPr>
            <w:tcW w:w="897" w:type="pct"/>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CEL główny</w:t>
            </w:r>
          </w:p>
        </w:tc>
        <w:tc>
          <w:tcPr>
            <w:tcW w:w="1368" w:type="pct"/>
            <w:shd w:val="clear" w:color="auto" w:fill="FFFFFF" w:themeFill="background1"/>
            <w:hideMark/>
          </w:tcPr>
          <w:p w:rsidR="005F5E3C" w:rsidRPr="00E87A5F" w:rsidRDefault="005F5E3C" w:rsidP="00067FD0">
            <w:pPr>
              <w:shd w:val="clear" w:color="auto" w:fill="FFFFFF" w:themeFill="background1"/>
              <w:ind w:firstLine="34"/>
              <w:rPr>
                <w:rFonts w:ascii="Times New Roman" w:hAnsi="Times New Roman" w:cs="Times New Roman"/>
              </w:rPr>
            </w:pPr>
            <w:r w:rsidRPr="00E87A5F">
              <w:rPr>
                <w:rFonts w:ascii="Times New Roman" w:hAnsi="Times New Roman" w:cs="Times New Roman"/>
              </w:rPr>
              <w:t>Cele szczegółowe</w:t>
            </w:r>
          </w:p>
        </w:tc>
        <w:tc>
          <w:tcPr>
            <w:tcW w:w="2019" w:type="pct"/>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Przedsięwzięcia</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Budżet</w:t>
            </w:r>
          </w:p>
        </w:tc>
      </w:tr>
      <w:tr w:rsidR="005F5E3C" w:rsidRPr="00E87A5F" w:rsidTr="00067FD0">
        <w:trPr>
          <w:trHeight w:val="398"/>
        </w:trPr>
        <w:tc>
          <w:tcPr>
            <w:tcW w:w="897" w:type="pct"/>
            <w:vMerge w:val="restar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gospodarczy oparty na wykorzystaniu zasobów obszaru z poszanowaniem środowiska i przeciwdziałaniu zmianom klimatycznym Lokalnej Grupy Działania Kwiat </w:t>
            </w:r>
            <w:r w:rsidRPr="00E87A5F">
              <w:rPr>
                <w:rFonts w:ascii="Times New Roman" w:hAnsi="Times New Roman" w:cs="Times New Roman"/>
              </w:rPr>
              <w:lastRenderedPageBreak/>
              <w:t>Lnu do 2022 (23) r.</w:t>
            </w:r>
          </w:p>
          <w:p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lastRenderedPageBreak/>
              <w:t xml:space="preserve">1.1. Region z zadbaną przestrzenią publiczną i środowiskiem, atrakcyjny turystycznie  </w:t>
            </w: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1.1.1. Zagospodarowanie przestrzeni publicznej na potrzeby rekreacyjne i kulturowe</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1 870 000,00</w:t>
            </w:r>
          </w:p>
        </w:tc>
      </w:tr>
      <w:tr w:rsidR="005F5E3C" w:rsidRPr="00E87A5F" w:rsidTr="00067FD0">
        <w:trPr>
          <w:trHeight w:val="164"/>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1.1.2. Rozwój infrastruktury turystycznej </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980 000,00</w:t>
            </w:r>
          </w:p>
        </w:tc>
      </w:tr>
      <w:tr w:rsidR="005F5E3C" w:rsidRPr="00E87A5F" w:rsidTr="00067FD0">
        <w:trPr>
          <w:trHeight w:val="467"/>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310 000,00</w:t>
            </w:r>
          </w:p>
        </w:tc>
      </w:tr>
      <w:tr w:rsidR="005F5E3C" w:rsidRPr="00E87A5F" w:rsidTr="00067FD0">
        <w:trPr>
          <w:trHeight w:val="375"/>
        </w:trPr>
        <w:tc>
          <w:tcPr>
            <w:tcW w:w="897" w:type="pct"/>
            <w:vMerge/>
            <w:shd w:val="clear" w:color="auto" w:fill="FFFFFF" w:themeFill="background1"/>
            <w:vAlign w:val="center"/>
          </w:tcPr>
          <w:p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1.1.4 Zachowanie dziedzictwa kulturowego</w:t>
            </w:r>
          </w:p>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 i przyrodniczego</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700 000,00</w:t>
            </w:r>
          </w:p>
        </w:tc>
      </w:tr>
      <w:tr w:rsidR="005F5E3C" w:rsidRPr="00E87A5F" w:rsidTr="00067FD0">
        <w:trPr>
          <w:trHeight w:val="694"/>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300 000,00</w:t>
            </w:r>
          </w:p>
        </w:tc>
      </w:tr>
      <w:tr w:rsidR="005F5E3C" w:rsidRPr="00E87A5F" w:rsidTr="00067FD0">
        <w:trPr>
          <w:trHeight w:val="524"/>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1.2.2.Funkcjonowanie LGD oraz włączenie mieszkańców we wdrażanie LSR</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1 850 000,00</w:t>
            </w:r>
          </w:p>
        </w:tc>
      </w:tr>
      <w:tr w:rsidR="005F5E3C" w:rsidRPr="00E87A5F" w:rsidTr="00067FD0">
        <w:trPr>
          <w:trHeight w:val="656"/>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1 800 000,00</w:t>
            </w:r>
          </w:p>
        </w:tc>
      </w:tr>
      <w:tr w:rsidR="005F5E3C" w:rsidRPr="00E87A5F" w:rsidTr="00067FD0">
        <w:trPr>
          <w:trHeight w:val="487"/>
        </w:trPr>
        <w:tc>
          <w:tcPr>
            <w:tcW w:w="897" w:type="pct"/>
            <w:vMerge/>
            <w:shd w:val="clear" w:color="auto" w:fill="FFFFFF" w:themeFill="background1"/>
            <w:vAlign w:val="center"/>
            <w:hideMark/>
          </w:tcPr>
          <w:p w:rsidR="005F5E3C" w:rsidRPr="00E87A5F" w:rsidRDefault="005F5E3C" w:rsidP="00067FD0">
            <w:pPr>
              <w:shd w:val="clear" w:color="auto" w:fill="FFFFFF" w:themeFill="background1"/>
              <w:ind w:left="-709"/>
              <w:rPr>
                <w:rFonts w:ascii="Times New Roman" w:hAnsi="Times New Roman" w:cs="Times New Roman"/>
              </w:rPr>
            </w:pPr>
          </w:p>
        </w:tc>
        <w:tc>
          <w:tcPr>
            <w:tcW w:w="1368"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1.3.2 Rozwijanie podmiotów gospodarczych</w:t>
            </w:r>
            <w:r w:rsidR="00D947F3">
              <w:rPr>
                <w:rFonts w:ascii="Times New Roman" w:hAnsi="Times New Roman" w:cs="Times New Roman"/>
              </w:rPr>
              <w:t xml:space="preserve"> w tym</w:t>
            </w:r>
            <w:r w:rsidRPr="00E87A5F">
              <w:rPr>
                <w:rFonts w:ascii="Times New Roman" w:hAnsi="Times New Roman" w:cs="Times New Roman"/>
              </w:rPr>
              <w:t xml:space="preserve"> w kluczowych branżach dla regionu</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2 200 000,00</w:t>
            </w:r>
          </w:p>
        </w:tc>
      </w:tr>
      <w:tr w:rsidR="005F5E3C" w:rsidRPr="00E87A5F" w:rsidTr="00067FD0">
        <w:trPr>
          <w:trHeight w:val="236"/>
        </w:trPr>
        <w:tc>
          <w:tcPr>
            <w:tcW w:w="4284" w:type="pct"/>
            <w:gridSpan w:val="3"/>
            <w:shd w:val="clear" w:color="auto" w:fill="FFFFFF" w:themeFill="background1"/>
            <w:hideMark/>
          </w:tcPr>
          <w:p w:rsidR="005F5E3C" w:rsidRPr="00E87A5F" w:rsidRDefault="005F5E3C" w:rsidP="00067FD0">
            <w:pPr>
              <w:shd w:val="clear" w:color="auto" w:fill="FFFFFF" w:themeFill="background1"/>
              <w:jc w:val="right"/>
              <w:rPr>
                <w:rFonts w:ascii="Times New Roman" w:hAnsi="Times New Roman" w:cs="Times New Roman"/>
              </w:rPr>
            </w:pPr>
            <w:r w:rsidRPr="00E87A5F">
              <w:rPr>
                <w:rFonts w:ascii="Times New Roman" w:hAnsi="Times New Roman" w:cs="Times New Roman"/>
              </w:rPr>
              <w:t xml:space="preserve">Razem </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10 010 000,00</w:t>
            </w:r>
          </w:p>
        </w:tc>
      </w:tr>
    </w:tbl>
    <w:p w:rsidR="005F5E3C" w:rsidRPr="00E87A5F" w:rsidRDefault="005F5E3C" w:rsidP="005F5E3C">
      <w:pPr>
        <w:pStyle w:val="Default"/>
        <w:rPr>
          <w:i/>
          <w:sz w:val="22"/>
          <w:szCs w:val="22"/>
        </w:rPr>
      </w:pPr>
      <w:r w:rsidRPr="00E87A5F">
        <w:rPr>
          <w:i/>
          <w:sz w:val="22"/>
          <w:szCs w:val="22"/>
        </w:rPr>
        <w:t>Źródło: opracowanie własne LGD</w:t>
      </w:r>
    </w:p>
    <w:p w:rsidR="005F5E3C" w:rsidRPr="00E87A5F" w:rsidRDefault="005F5E3C" w:rsidP="005F5E3C">
      <w:pPr>
        <w:shd w:val="clear" w:color="auto" w:fill="FFFFFF" w:themeFill="background1"/>
        <w:spacing w:after="0" w:line="240" w:lineRule="auto"/>
        <w:rPr>
          <w:rFonts w:ascii="Times New Roman" w:hAnsi="Times New Roman" w:cs="Times New Roman"/>
        </w:rPr>
      </w:pPr>
    </w:p>
    <w:p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hAnsi="Times New Roman" w:cs="Times New Roman"/>
        </w:rPr>
        <w:t xml:space="preserve">Przeprowadzone z udziałem społeczności lokalnej konsultacje z wykorzystaniem różnych metod partycypacji oraz na podstawie fiszek projektowych, przesyłanych propozycji pomysłów, wielu indywidualnych rozmów z mieszkańcami i organizacjami pozarządowymi Wypracowano kierunek, w jakim powinien się rozwijać obszar LGD Kwiat Lnu. Określono cel ogólny „Zrównoważony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–gospodarczy oparty na wykorzystaniu zasobów obszaru z poszanowaniem środowiska i przeciwdziałaniu zmianom klimatycznym Lokalnej Grupy Działania Kwiat Lnu do 2022 (23) r.”, oraz trzy cele szczegółowe:1.1 Region z zadbaną przestrzenią publiczną i środowiskiem, atrakcyjny turystycznie; </w:t>
      </w:r>
      <w:r w:rsidRPr="00E87A5F">
        <w:rPr>
          <w:rFonts w:ascii="Times New Roman" w:eastAsia="Times New Roman" w:hAnsi="Times New Roman" w:cs="Times New Roman"/>
          <w:lang w:eastAsia="ar-SA"/>
        </w:rPr>
        <w:t xml:space="preserve">1.2. Aktywna, zintegrowana i świadoma ekologicznie społeczność lokalna oraz  1.3 Aktywne, innowacyjne podmioty gospodarcze tworzące miejsca pracy, dbające o ochronę środowiska i łagodzenie zmian klimatycznych.  Całkowity budżet na realizację LSR to 8 000 000zł. Do każdego celu przypisano przedsięwzięcia. Szczegółowy podział środków z podziałem na cele i przypisane do nich przedsięwzięcia został umieszczony w tabeli powyżej. </w:t>
      </w:r>
    </w:p>
    <w:p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1.1.1</w:t>
      </w:r>
      <w:r w:rsidRPr="00E87A5F">
        <w:rPr>
          <w:rFonts w:ascii="Times New Roman" w:eastAsia="Times New Roman" w:hAnsi="Times New Roman" w:cs="Times New Roman"/>
          <w:lang w:eastAsia="ar-SA"/>
        </w:rPr>
        <w:t xml:space="preserve"> - w ramach środków wskazanych w powyższej tabeli ogłosimy konkurs otwarty w 2016r. na </w:t>
      </w:r>
      <w:r w:rsidRPr="00E87A5F">
        <w:rPr>
          <w:rFonts w:ascii="Times New Roman" w:hAnsi="Times New Roman" w:cs="Times New Roman"/>
        </w:rPr>
        <w:t xml:space="preserve">zagospodarowanie przestrzeni publicznej </w:t>
      </w:r>
      <w:r w:rsidRPr="00E87A5F">
        <w:rPr>
          <w:rFonts w:ascii="Times New Roman" w:hAnsi="Times New Roman" w:cs="Times New Roman"/>
          <w:i/>
        </w:rPr>
        <w:t>(centra wsi,  miejsca integracji i  spotkań, place zabaw, siłownie, boiska wielofunkcyjne, parki linowe, wioski tematyczne  itp.)</w:t>
      </w:r>
      <w:r w:rsidRPr="00E87A5F">
        <w:rPr>
          <w:rFonts w:ascii="Times New Roman" w:eastAsia="Times New Roman" w:hAnsi="Times New Roman" w:cs="Times New Roman"/>
          <w:lang w:eastAsia="ar-SA"/>
        </w:rPr>
        <w:t xml:space="preserve"> na kwotę 1 570 000,00 zł, gdzie głównymi wniosk</w:t>
      </w:r>
      <w:r w:rsidR="00C3342A">
        <w:rPr>
          <w:rFonts w:ascii="Times New Roman" w:eastAsia="Times New Roman" w:hAnsi="Times New Roman" w:cs="Times New Roman"/>
          <w:lang w:eastAsia="ar-SA"/>
        </w:rPr>
        <w:t>odawcami będą gminy. Efekt to 18</w:t>
      </w:r>
      <w:r w:rsidRPr="00E87A5F">
        <w:rPr>
          <w:rFonts w:ascii="Times New Roman" w:eastAsia="Times New Roman" w:hAnsi="Times New Roman" w:cs="Times New Roman"/>
          <w:lang w:eastAsia="ar-SA"/>
        </w:rPr>
        <w:t xml:space="preserve"> zagospodarowanych miejsc przestrzeni publicznej. Ponadto w ramach realizacji tego przedsięwzięcia ogłosimy nabór wniosków w ramach konkursu grantowego na kwotę 300 000,00 zł. w 2018/2019 r. Zaplanowano realizację 10 zadań związanych z przestrzenią publiczną w ramach grantów.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1.1.2</w:t>
      </w:r>
      <w:r w:rsidRPr="00E87A5F">
        <w:rPr>
          <w:rFonts w:ascii="Times New Roman" w:eastAsia="Times New Roman" w:hAnsi="Times New Roman" w:cs="Times New Roman"/>
          <w:lang w:eastAsia="ar-SA"/>
        </w:rPr>
        <w:t xml:space="preserve"> w ramach środków (wskazanych w powyższej tabeli) ogłosimy konkurs otwarty w 2016r. na rozwój infrastruktury turystycznej na kwotę 680 000,00 zł, gdzie głównymi wnioskodawcami będą gminy. W planie działania wskazano 6 obiektów infrastruktury turystycznej. Ponadto na realizację tego przedsięwzięcia (</w:t>
      </w:r>
      <w:r w:rsidRPr="00E87A5F">
        <w:rPr>
          <w:rFonts w:ascii="Times New Roman" w:hAnsi="Times New Roman" w:cs="Times New Roman"/>
          <w:i/>
        </w:rPr>
        <w:t xml:space="preserve">tworzenie lub modernizacja tras turystycznych (pieszych, konnych, rowerowych,  edukacyjnych, narciarskich, historycznych, kajakowych, itp.; budowa lub przebudowa obiektów o charakterze –turystycznym w tym mała infrastruktura turystyczna np. wiaty, ławki, miejsca postoju, miejsca widokowe, toalety ekologiczne itp. oraz ich monitoring; mała infrastruktura miejsc edukacji przyrodniczej /np.  ścieżek przyrodniczych/ oraz przygotowanie obiektów do pełnienia takich funkcji itp.) </w:t>
      </w:r>
      <w:r w:rsidRPr="00E87A5F">
        <w:rPr>
          <w:rFonts w:ascii="Times New Roman" w:hAnsi="Times New Roman" w:cs="Times New Roman"/>
        </w:rPr>
        <w:t xml:space="preserve">ogłosimy </w:t>
      </w:r>
      <w:r w:rsidRPr="00E87A5F">
        <w:rPr>
          <w:rFonts w:ascii="Times New Roman" w:eastAsia="Times New Roman" w:hAnsi="Times New Roman" w:cs="Times New Roman"/>
          <w:lang w:eastAsia="ar-SA"/>
        </w:rPr>
        <w:t>konkurs grantowy na kwotę 300 000,00 zł., w 2018/2019r. Zaplanowano realizację 10 zadań związanych infrastrukturą i trasami turysty</w:t>
      </w:r>
      <w:r w:rsidR="00B9738F">
        <w:rPr>
          <w:rFonts w:ascii="Times New Roman" w:eastAsia="Times New Roman" w:hAnsi="Times New Roman" w:cs="Times New Roman"/>
          <w:lang w:eastAsia="ar-SA"/>
        </w:rPr>
        <w:t xml:space="preserve">cznymi </w:t>
      </w:r>
      <w:r w:rsidR="00B9738F" w:rsidRPr="00B9738F">
        <w:rPr>
          <w:rFonts w:ascii="Times New Roman" w:eastAsia="Times New Roman" w:hAnsi="Times New Roman" w:cs="Times New Roman"/>
          <w:lang w:eastAsia="ar-SA"/>
        </w:rPr>
        <w:t>w ramach konkursów grantowych.</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1.1.3</w:t>
      </w:r>
      <w:r w:rsidRPr="00E87A5F">
        <w:rPr>
          <w:rFonts w:ascii="Times New Roman" w:eastAsia="Times New Roman" w:hAnsi="Times New Roman" w:cs="Times New Roman"/>
          <w:lang w:eastAsia="ar-SA"/>
        </w:rPr>
        <w:t xml:space="preserve"> w ramach środków (wskazanych w powyższej tabeli) ogłosimy konkurs otwarty  w 2018/2019r. na szeroko rozumiane działania promocyjne </w:t>
      </w:r>
      <w:r w:rsidRPr="00E87A5F">
        <w:rPr>
          <w:rFonts w:ascii="Times New Roman" w:eastAsia="Times New Roman" w:hAnsi="Times New Roman" w:cs="Times New Roman"/>
          <w:i/>
          <w:lang w:eastAsia="ar-SA"/>
        </w:rPr>
        <w:t>(</w:t>
      </w:r>
      <w:r w:rsidRPr="00E87A5F">
        <w:rPr>
          <w:rFonts w:ascii="Times New Roman" w:hAnsi="Times New Roman" w:cs="Times New Roman"/>
          <w:i/>
        </w:rPr>
        <w:t xml:space="preserve">promowanie i wyeksponowanie atrakcji turystycznych na obszarze LGD /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w:t>
      </w:r>
      <w:proofErr w:type="spellStart"/>
      <w:r w:rsidRPr="00E87A5F">
        <w:rPr>
          <w:rFonts w:ascii="Times New Roman" w:hAnsi="Times New Roman" w:cs="Times New Roman"/>
          <w:i/>
        </w:rPr>
        <w:t>internetu</w:t>
      </w:r>
      <w:proofErr w:type="spellEnd"/>
      <w:r w:rsidRPr="00E87A5F">
        <w:rPr>
          <w:rFonts w:ascii="Times New Roman" w:hAnsi="Times New Roman" w:cs="Times New Roman"/>
          <w:i/>
        </w:rPr>
        <w:t xml:space="preserve">, portali </w:t>
      </w:r>
      <w:proofErr w:type="spellStart"/>
      <w:r w:rsidRPr="00E87A5F">
        <w:rPr>
          <w:rFonts w:ascii="Times New Roman" w:hAnsi="Times New Roman" w:cs="Times New Roman"/>
          <w:i/>
        </w:rPr>
        <w:t>społecznościowych</w:t>
      </w:r>
      <w:proofErr w:type="spellEnd"/>
      <w:r w:rsidRPr="00E87A5F">
        <w:rPr>
          <w:rFonts w:ascii="Times New Roman" w:hAnsi="Times New Roman" w:cs="Times New Roman"/>
          <w:i/>
        </w:rPr>
        <w:t>, radia, TV, filmy promocyjne, materiały w j. polskim  i wielojęzycznie).</w:t>
      </w:r>
      <w:r w:rsidRPr="00E87A5F">
        <w:rPr>
          <w:rFonts w:ascii="Times New Roman" w:hAnsi="Times New Roman" w:cs="Times New Roman"/>
        </w:rPr>
        <w:t xml:space="preserve">Kwota przeznaczona na konkurs to 150 000 zł, a efektem będzie wyeksponowanie 80 miejsc i atrakcji turystycznych oraz realizacja 4 rodzajów promocji. W ramach tego przedsięwzięcia zaplanowano również </w:t>
      </w:r>
      <w:r w:rsidRPr="00E87A5F">
        <w:rPr>
          <w:rFonts w:ascii="Times New Roman" w:hAnsi="Times New Roman" w:cs="Times New Roman"/>
          <w:u w:val="single"/>
        </w:rPr>
        <w:t xml:space="preserve">trzy projekty </w:t>
      </w:r>
      <w:r w:rsidRPr="00E87A5F">
        <w:rPr>
          <w:rFonts w:ascii="Times New Roman" w:hAnsi="Times New Roman" w:cs="Times New Roman"/>
        </w:rPr>
        <w:t xml:space="preserve">współpracy. Pierwszy projekt będzie zrealizowany w latach 2016/2018 we współpracy z partnerami czeskimi i dwiema partnerskimi LGD z Dolnego Śląska. W budżecie tylko ten projekt jest wskazany na kwotę 160 000,00 zł, co stanowi 2% budżetu zgodnie z przepisami. W ramach projektu przygotujemy wielojęzyczne materiały (mapy, broszury itp.), które będą dystrybuowane turystom na terenie polskich i czeskich LGD itd. Ponadto odbędzie się konferencja i wizyta studyjna u partnerów czeskich, gdzie poznamy obszar, aby lepiej go promować. Dwa pozostałe projekty realizowane we współpracy z polskimi LGD są </w:t>
      </w:r>
      <w:proofErr w:type="spellStart"/>
      <w:r w:rsidRPr="00E87A5F">
        <w:rPr>
          <w:rFonts w:ascii="Times New Roman" w:hAnsi="Times New Roman" w:cs="Times New Roman"/>
        </w:rPr>
        <w:t>owskaźnikowane</w:t>
      </w:r>
      <w:proofErr w:type="spellEnd"/>
      <w:r w:rsidRPr="00E87A5F">
        <w:rPr>
          <w:rFonts w:ascii="Times New Roman" w:hAnsi="Times New Roman" w:cs="Times New Roman"/>
        </w:rPr>
        <w:t xml:space="preserve"> w planie, ale nie przypisano do nich wartości. Zaplanowane są do realizacji w latach 2019-2021. Planujemy szereg działań polegających na wypracowaniu i wdrożeniu marki lokalnej oraz powstanie szlaku kulinarnego „Koszyk Dolnośląskich Smaków”. </w:t>
      </w:r>
    </w:p>
    <w:p w:rsidR="005F5E3C" w:rsidRPr="00E87A5F" w:rsidRDefault="005F5E3C" w:rsidP="005F5E3C">
      <w:pPr>
        <w:spacing w:after="0" w:line="240" w:lineRule="auto"/>
        <w:jc w:val="both"/>
        <w:rPr>
          <w:rFonts w:ascii="Times New Roman" w:hAnsi="Times New Roman" w:cs="Times New Roman"/>
          <w:i/>
        </w:rPr>
      </w:pPr>
      <w:r w:rsidRPr="00E87A5F">
        <w:rPr>
          <w:rFonts w:ascii="Times New Roman" w:eastAsia="Times New Roman" w:hAnsi="Times New Roman" w:cs="Times New Roman"/>
          <w:u w:val="single"/>
          <w:lang w:eastAsia="ar-SA"/>
        </w:rPr>
        <w:t>Przedsięwzięcie 1.1.4</w:t>
      </w:r>
      <w:r w:rsidRPr="00E87A5F">
        <w:rPr>
          <w:rFonts w:ascii="Times New Roman" w:eastAsia="Times New Roman" w:hAnsi="Times New Roman" w:cs="Times New Roman"/>
          <w:lang w:eastAsia="ar-SA"/>
        </w:rPr>
        <w:t xml:space="preserve"> w ramach środków (wskazanych w powyższej tabeli) ogłosimy konkurs otwarty w 2016r. na zachowanie dziedzictwa kulturowego, a szczególnie remont i renowację obiektów zabytkowych </w:t>
      </w:r>
      <w:r w:rsidRPr="00E87A5F">
        <w:rPr>
          <w:rFonts w:ascii="Times New Roman" w:eastAsia="Times New Roman" w:hAnsi="Times New Roman" w:cs="Times New Roman"/>
          <w:i/>
          <w:lang w:eastAsia="ar-SA"/>
        </w:rPr>
        <w:t>(</w:t>
      </w:r>
      <w:r w:rsidRPr="00E87A5F">
        <w:rPr>
          <w:rFonts w:ascii="Times New Roman" w:hAnsi="Times New Roman" w:cs="Times New Roman"/>
          <w:i/>
        </w:rPr>
        <w:t xml:space="preserve">remont, konserwacja, rewitalizacja obiektów wpisanych do rejestru zabytków lub objętych ewidencją zabytków). </w:t>
      </w:r>
      <w:r w:rsidRPr="00E87A5F">
        <w:rPr>
          <w:rFonts w:ascii="Times New Roman" w:hAnsi="Times New Roman" w:cs="Times New Roman"/>
        </w:rPr>
        <w:t>Kwota przeznaczona na konkurs to 300 000,00 zł, a efektem będzie odrestaurowanie jednego zabytku. Kolejny konkurs otwarty na to zadanie ogłosimy w 20218/2019 roku na kwotę 100 000,00 zł z przeznaczeniem na odrestaurowanie 3 małych zabytkowych obiektów. Ponadto z</w:t>
      </w:r>
      <w:r w:rsidRPr="00E87A5F">
        <w:rPr>
          <w:rFonts w:ascii="Times New Roman" w:eastAsia="Times New Roman" w:hAnsi="Times New Roman" w:cs="Times New Roman"/>
          <w:lang w:eastAsia="ar-SA"/>
        </w:rPr>
        <w:t xml:space="preserve">realizujemy w latach 2019/2020r. konkurs grantowy, który przyczyni się do zachowania dziedzictwa kulturowego i lokalnego na kwotę 300 000 zł.  W ramach tego konkursu zaplanowaliśmy realizację 10 działań </w:t>
      </w:r>
      <w:r w:rsidRPr="00E87A5F">
        <w:rPr>
          <w:rFonts w:ascii="Times New Roman" w:hAnsi="Times New Roman" w:cs="Times New Roman"/>
          <w:color w:val="000000" w:themeColor="text1"/>
        </w:rPr>
        <w:t xml:space="preserve">na rzecz zachowania krajobrazu kulturowego wsi </w:t>
      </w:r>
      <w:r w:rsidRPr="00E87A5F">
        <w:rPr>
          <w:rFonts w:ascii="Times New Roman" w:hAnsi="Times New Roman" w:cs="Times New Roman"/>
          <w:i/>
          <w:color w:val="000000" w:themeColor="text1"/>
        </w:rPr>
        <w:t xml:space="preserve">(odtwarzanie i rewitalizacja alei, </w:t>
      </w:r>
      <w:proofErr w:type="spellStart"/>
      <w:r w:rsidRPr="00E87A5F">
        <w:rPr>
          <w:rFonts w:ascii="Times New Roman" w:hAnsi="Times New Roman" w:cs="Times New Roman"/>
          <w:i/>
          <w:color w:val="000000" w:themeColor="text1"/>
        </w:rPr>
        <w:t>nasadzeń</w:t>
      </w:r>
      <w:proofErr w:type="spellEnd"/>
      <w:r w:rsidRPr="00E87A5F">
        <w:rPr>
          <w:rFonts w:ascii="Times New Roman" w:hAnsi="Times New Roman" w:cs="Times New Roman"/>
          <w:i/>
          <w:color w:val="000000" w:themeColor="text1"/>
        </w:rPr>
        <w:t>, detali przestrzeni wiejskiej oraz małych obiektów zabytkowych /krzyże, kapliczki, rzeźby itp.)</w:t>
      </w:r>
      <w:r w:rsidRPr="00E87A5F">
        <w:rPr>
          <w:rFonts w:ascii="Times New Roman" w:hAnsi="Times New Roman" w:cs="Times New Roman"/>
          <w:color w:val="000000" w:themeColor="text1"/>
        </w:rPr>
        <w:t xml:space="preserve">  oraz  6 działań pozwalających </w:t>
      </w:r>
      <w:r w:rsidRPr="00E87A5F">
        <w:rPr>
          <w:rFonts w:ascii="Times New Roman" w:hAnsi="Times New Roman" w:cs="Times New Roman"/>
          <w:color w:val="000000" w:themeColor="text1"/>
        </w:rPr>
        <w:lastRenderedPageBreak/>
        <w:t xml:space="preserve">na </w:t>
      </w:r>
      <w:r w:rsidRPr="00E87A5F">
        <w:rPr>
          <w:rFonts w:ascii="Times New Roman" w:hAnsi="Times New Roman" w:cs="Times New Roman"/>
          <w:i/>
        </w:rPr>
        <w:t xml:space="preserve">Rozwój istniejących i tworzenie nowych miejsc prezentacji produktów lokalnych i rękodzieła, pamiątek i dziedzictwa historycznego np. galerii, skansenów, </w:t>
      </w:r>
      <w:proofErr w:type="spellStart"/>
      <w:r w:rsidRPr="00E87A5F">
        <w:rPr>
          <w:rFonts w:ascii="Times New Roman" w:hAnsi="Times New Roman" w:cs="Times New Roman"/>
          <w:i/>
        </w:rPr>
        <w:t>ekomuzeów</w:t>
      </w:r>
      <w:proofErr w:type="spellEnd"/>
      <w:r w:rsidRPr="00E87A5F">
        <w:rPr>
          <w:rFonts w:ascii="Times New Roman" w:hAnsi="Times New Roman" w:cs="Times New Roman"/>
          <w:i/>
        </w:rPr>
        <w:t>, izb pamięci itp.)</w:t>
      </w:r>
    </w:p>
    <w:p w:rsidR="005F5E3C" w:rsidRPr="00E87A5F" w:rsidRDefault="00280657" w:rsidP="005F5E3C">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u w:val="single"/>
          <w:lang w:eastAsia="ar-SA"/>
        </w:rPr>
        <w:t>Przedsięwzięcie 1.2.1</w:t>
      </w:r>
      <w:r>
        <w:rPr>
          <w:rFonts w:ascii="Times New Roman" w:eastAsia="Times New Roman" w:hAnsi="Times New Roman" w:cs="Times New Roman"/>
          <w:lang w:eastAsia="ar-SA"/>
        </w:rPr>
        <w:t xml:space="preserve"> w ramach środków (wskazanych w powyższej tabeli) ogłosimy dwa konkursy grantowe: jeden w 2016</w:t>
      </w:r>
      <w:r w:rsidRPr="00280657">
        <w:rPr>
          <w:rFonts w:ascii="Times New Roman" w:eastAsia="Times New Roman" w:hAnsi="Times New Roman" w:cs="Times New Roman"/>
          <w:lang w:eastAsia="ar-SA"/>
        </w:rPr>
        <w:t xml:space="preserve">/2017r. a drugi w 2018/2019r. każdy po 150 000,00 zł. Efektem zrealizowanych zadań grantowych będzie 48 projektów grantowych. Będą to działania integrujące społeczność lokalną ( </w:t>
      </w:r>
      <w:r w:rsidRPr="00280657">
        <w:rPr>
          <w:rFonts w:ascii="Times New Roman" w:eastAsia="Times New Roman" w:hAnsi="Times New Roman" w:cs="Times New Roman"/>
          <w:i/>
          <w:lang w:eastAsia="ar-SA"/>
        </w:rPr>
        <w:t xml:space="preserve">warsztaty </w:t>
      </w:r>
      <w:r w:rsidRPr="00280657">
        <w:rPr>
          <w:rFonts w:ascii="Times New Roman" w:hAnsi="Times New Roman" w:cs="Times New Roman"/>
          <w:i/>
        </w:rPr>
        <w:t>prowadzone przede wszystkim w świetlicach dla dzieci, młodzieży i seniorów, tworzenie i rozwój kół zainteresowań dla dzieci promujących region, prowadzenie zajęć rekreacyjnych oraz promujących zdrowy styl życia, „mobilne domy kultury” i „mobilne uniwersytety trzeciego wieku” itp.)</w:t>
      </w:r>
      <w:r w:rsidRPr="00280657">
        <w:rPr>
          <w:rFonts w:ascii="Times New Roman" w:hAnsi="Times New Roman" w:cs="Times New Roman"/>
        </w:rPr>
        <w:t xml:space="preserve"> oraz działania z zakresu edukacji ekologicznej </w:t>
      </w:r>
      <w:r w:rsidRPr="00280657">
        <w:rPr>
          <w:rFonts w:ascii="Times New Roman" w:hAnsi="Times New Roman" w:cs="Times New Roman"/>
          <w:i/>
        </w:rPr>
        <w:t>(akcje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itd.)</w:t>
      </w:r>
      <w:r w:rsidRPr="00280657">
        <w:rPr>
          <w:rFonts w:ascii="Times New Roman" w:eastAsia="Times New Roman" w:hAnsi="Times New Roman" w:cs="Times New Roman"/>
          <w:i/>
          <w:lang w:eastAsia="ar-SA"/>
        </w:rPr>
        <w:t>.</w:t>
      </w:r>
    </w:p>
    <w:p w:rsidR="00D947F3" w:rsidRPr="00D947F3" w:rsidRDefault="00D947F3" w:rsidP="00D947F3">
      <w:pPr>
        <w:spacing w:after="0"/>
        <w:jc w:val="both"/>
        <w:rPr>
          <w:rFonts w:ascii="Times New Roman" w:hAnsi="Times New Roman" w:cs="Times New Roman"/>
        </w:rPr>
      </w:pPr>
      <w:r w:rsidRPr="00D947F3">
        <w:rPr>
          <w:rFonts w:ascii="Times New Roman" w:hAnsi="Times New Roman" w:cs="Times New Roman"/>
          <w:u w:val="single"/>
        </w:rPr>
        <w:t>Przedsięwzięcie 1.2.2</w:t>
      </w:r>
      <w:r w:rsidRPr="00D947F3">
        <w:rPr>
          <w:rFonts w:ascii="Times New Roman" w:hAnsi="Times New Roman" w:cs="Times New Roman"/>
        </w:rPr>
        <w:t xml:space="preserve"> to działanie biura LGD w ramach środków wskazanych w powyższej tabeli. W budżecie uwzględniono środki na aktywizację i koszty bieżące. W ramach aktywizacji zaplanowano kwotę  65 000,00 zł na lata od 2016 do 2023. Zaplanowane działania to: udzielenie wsparcia podmiotom w formie indywidualnego doradztwa (500 osób); spotkania informacyjno-konsultacyjne dla mieszkańców (40); wydarzenie promocyjne – targi (4); ogłoszenia w lokalnych mediach (15); materiały drukowane- plakaty, biuletyny, Głos Leadera, broszura (19 rodzajów</w:t>
      </w:r>
      <w:r w:rsidR="000B6143">
        <w:rPr>
          <w:rFonts w:ascii="Times New Roman" w:hAnsi="Times New Roman" w:cs="Times New Roman"/>
        </w:rPr>
        <w:t xml:space="preserve"> wydań</w:t>
      </w:r>
      <w:r w:rsidRPr="00D947F3">
        <w:rPr>
          <w:rFonts w:ascii="Times New Roman" w:hAnsi="Times New Roman" w:cs="Times New Roman"/>
        </w:rPr>
        <w:t>). Ponadto w ramach środków tego przedsięwzięcia ujęto koszty funkcjonowania biura przez okres 86 miesięcy w tym: zatrudnienie 4 osób, ale w przeliczeniu na 3 pełne etaty, prowadzenie księgowości przez firmę zewnętrza, prowadzenie strony www., koszty utrzymania pomieszczenia biura, materiały biurowe, zakupy sprzętu, koszty pracy Rady, delegacje itp.</w:t>
      </w:r>
    </w:p>
    <w:p w:rsidR="005F5E3C" w:rsidRPr="00D947F3" w:rsidRDefault="00D947F3" w:rsidP="00D947F3">
      <w:pPr>
        <w:spacing w:after="0"/>
        <w:jc w:val="both"/>
        <w:rPr>
          <w:rFonts w:ascii="Times New Roman" w:hAnsi="Times New Roman" w:cs="Times New Roman"/>
        </w:rPr>
      </w:pPr>
      <w:r w:rsidRPr="00D947F3">
        <w:rPr>
          <w:rFonts w:ascii="Times New Roman" w:hAnsi="Times New Roman" w:cs="Times New Roman"/>
        </w:rPr>
        <w:t>W wyniku konsultacji z mieszkańcami, pracy grupy roboczej, fokusów z przedsiębiorcami, na podstawie ankiet LGD w ramach 4 000 000,00zł przeznaczonych na tworzenie nowych miejsc pracy postanowiła przeznaczyć 1 800 000,00 zł na zakładanie nowych firm, a 2 200 000,00 zł dla przedsiębiorców, którzy chcą rozwijać swoje firmy i zwiększać w nich zatrudnienie co stanowi połowę budżetu zgodnie z zasadami programowymi</w:t>
      </w:r>
      <w:r>
        <w:rPr>
          <w:rFonts w:ascii="Times New Roman" w:hAnsi="Times New Roman" w:cs="Times New Roman"/>
        </w:rPr>
        <w:t>.</w:t>
      </w:r>
    </w:p>
    <w:p w:rsidR="00B9738F" w:rsidRPr="00B9738F" w:rsidRDefault="00B9738F" w:rsidP="00B9738F">
      <w:pPr>
        <w:spacing w:after="0" w:line="240" w:lineRule="auto"/>
        <w:jc w:val="both"/>
        <w:rPr>
          <w:rFonts w:ascii="Times New Roman" w:eastAsia="Times New Roman" w:hAnsi="Times New Roman" w:cs="Times New Roman"/>
          <w:lang w:eastAsia="ar-SA"/>
        </w:rPr>
      </w:pPr>
      <w:r w:rsidRPr="00B9738F">
        <w:rPr>
          <w:rFonts w:ascii="Times New Roman" w:eastAsia="Times New Roman" w:hAnsi="Times New Roman" w:cs="Times New Roman"/>
          <w:u w:val="single"/>
          <w:lang w:eastAsia="ar-SA"/>
        </w:rPr>
        <w:t>Przedsięwzięcie 1.3.1.</w:t>
      </w:r>
      <w:r w:rsidRPr="00B9738F">
        <w:rPr>
          <w:rFonts w:ascii="Times New Roman" w:eastAsia="Times New Roman" w:hAnsi="Times New Roman" w:cs="Times New Roman"/>
          <w:lang w:eastAsia="ar-SA"/>
        </w:rPr>
        <w:t xml:space="preserve"> jest skierowane do osób, które pragną założyć firmę. Kwota przeznaczona na ten zakres to 1 800 000,00 zł w całym okresie programowania, a jedna premia dla nowopowstałej firmy to 75 000,00 zł. W ramach tego przedsięwzięcia wesprzemy u</w:t>
      </w:r>
      <w:r w:rsidR="00544490">
        <w:rPr>
          <w:rFonts w:ascii="Times New Roman" w:eastAsia="Times New Roman" w:hAnsi="Times New Roman" w:cs="Times New Roman"/>
          <w:lang w:eastAsia="ar-SA"/>
        </w:rPr>
        <w:t>tworzenie 24 nowych firm: w tym</w:t>
      </w:r>
      <w:r w:rsidRPr="00B9738F">
        <w:rPr>
          <w:rFonts w:ascii="Times New Roman" w:eastAsia="Times New Roman" w:hAnsi="Times New Roman" w:cs="Times New Roman"/>
          <w:lang w:eastAsia="ar-SA"/>
        </w:rPr>
        <w:t xml:space="preserve"> przez osoby z grupy </w:t>
      </w:r>
      <w:proofErr w:type="spellStart"/>
      <w:r w:rsidRPr="00B9738F">
        <w:rPr>
          <w:rFonts w:ascii="Times New Roman" w:eastAsia="Times New Roman" w:hAnsi="Times New Roman" w:cs="Times New Roman"/>
          <w:lang w:eastAsia="ar-SA"/>
        </w:rPr>
        <w:t>defaworyzowanej</w:t>
      </w:r>
      <w:proofErr w:type="spellEnd"/>
      <w:r w:rsidRPr="00B9738F">
        <w:rPr>
          <w:rFonts w:ascii="Times New Roman" w:eastAsia="Times New Roman" w:hAnsi="Times New Roman" w:cs="Times New Roman"/>
          <w:lang w:eastAsia="ar-SA"/>
        </w:rPr>
        <w:t xml:space="preserve"> jako: bezrobotne zarejestrowane w PUP, długotrwale bezrobotne, bezrobotne do 35r.ż., bezrobotne zamieszkałe na wsi. Nabór wniosków ogłosimy w 2016/2017r na kwotę 900.000,00 zł. W roku 2019 ogłosimy nabór wniosków na kwotę 900 000,00 zł.</w:t>
      </w:r>
    </w:p>
    <w:p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1.3.2</w:t>
      </w:r>
      <w:r w:rsidRPr="00E87A5F">
        <w:rPr>
          <w:rFonts w:ascii="Times New Roman" w:eastAsia="Times New Roman" w:hAnsi="Times New Roman" w:cs="Times New Roman"/>
          <w:lang w:eastAsia="ar-SA"/>
        </w:rPr>
        <w:t>. jest skierowane do firm, które pragną się rozwijać i zatrudniać nowych pracowników. Kwota przeznaczona na ten zakres to 2 200 000,00 zł w całym okresie programowania. W ramach tego przedsięwzięcia wesprzemy rozwijanie 8  przedsiębiorstw. Nabór wniosków ogłosimy w 2016/2017r na kwotę 1.100.000,00 zł i wesprzemy 4 firmy oraz w 2019r.  na kwotę 1 100.000,00 zł i również wesprzemy 4 firmy.</w:t>
      </w:r>
    </w:p>
    <w:p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LGD Kwiat Lnu nie przewidziała w ramach budżetu realizację </w:t>
      </w:r>
      <w:r w:rsidRPr="00E87A5F">
        <w:rPr>
          <w:rFonts w:ascii="Times New Roman" w:eastAsia="Times New Roman" w:hAnsi="Times New Roman" w:cs="Times New Roman"/>
          <w:u w:val="single"/>
          <w:lang w:eastAsia="ar-SA"/>
        </w:rPr>
        <w:t>projektów własnych.</w:t>
      </w:r>
      <w:r w:rsidRPr="00E87A5F">
        <w:rPr>
          <w:rFonts w:ascii="Times New Roman" w:eastAsia="Times New Roman" w:hAnsi="Times New Roman" w:cs="Times New Roman"/>
          <w:lang w:eastAsia="ar-SA"/>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 </w:t>
      </w:r>
    </w:p>
    <w:p w:rsidR="005F5E3C" w:rsidRPr="00E87A5F" w:rsidRDefault="005F5E3C" w:rsidP="005F5E3C">
      <w:pPr>
        <w:pStyle w:val="Nagwek1"/>
        <w:rPr>
          <w:rFonts w:ascii="Times New Roman" w:hAnsi="Times New Roman" w:cs="Times New Roman"/>
          <w:sz w:val="22"/>
          <w:szCs w:val="22"/>
        </w:rPr>
      </w:pPr>
      <w:bookmarkStart w:id="76" w:name="_Toc439184077"/>
      <w:r w:rsidRPr="00E87A5F">
        <w:rPr>
          <w:rFonts w:ascii="Times New Roman" w:hAnsi="Times New Roman" w:cs="Times New Roman"/>
          <w:sz w:val="22"/>
          <w:szCs w:val="22"/>
        </w:rPr>
        <w:t>Rozdział IX Plan komunikacji</w:t>
      </w:r>
      <w:bookmarkEnd w:id="76"/>
    </w:p>
    <w:p w:rsidR="005F5E3C" w:rsidRPr="00E87A5F" w:rsidRDefault="005F5E3C" w:rsidP="005F5E3C">
      <w:pPr>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Przez dobrą komunikację rozumiemy wszelkie działania informacyjno-promocyjne, które pomagają w wykorzystaniu środków europejskich dla rozwoju obszaru objętego LSR. Jej głównym kierunkiem jest wskazanie możliwości finansowania projektów, grup do których kierujemy w szczególności wsparcie, wspierania realizacji i rozliczania projektów, a także pokazywania ich efektów. Podstawą efektywnej kampanii informacyjnej będzie zbudowanie sprawnej komunikacji  pomiędzy Stowarzyszeniem Kwiat lnu a odbiorcami z zewnątrz czyli cała społeczność lokalna. Przepływ ten musi być spójny, płynny,  przejrzysty, systematyczny, rzetelny i odbywać się w odpowiednim czasie. Rzetelna, dobrze zorganizowana i szybka komunikacja stworzy podstawy skutecznej współpracy w aspekcie realizacji LSR.</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Tworząc planu komunikacji opieraliśmy się na doświadczeniu z poprzedniego okresu programowania oraz na przeprowadzonym badaniu ankietowym, gdzie zdecydowana większość respondentów wskazała iż najczęściej wybieranym źró</w:t>
      </w:r>
      <w:r w:rsidR="0035458B">
        <w:rPr>
          <w:rFonts w:ascii="Times New Roman" w:hAnsi="Times New Roman" w:cs="Times New Roman"/>
        </w:rPr>
        <w:t xml:space="preserve">dłem informacji jest </w:t>
      </w:r>
      <w:proofErr w:type="spellStart"/>
      <w:r w:rsidR="0035458B">
        <w:rPr>
          <w:rFonts w:ascii="Times New Roman" w:hAnsi="Times New Roman" w:cs="Times New Roman"/>
        </w:rPr>
        <w:t>internet</w:t>
      </w:r>
      <w:proofErr w:type="spellEnd"/>
      <w:r w:rsidR="0035458B">
        <w:rPr>
          <w:rFonts w:ascii="Times New Roman" w:hAnsi="Times New Roman" w:cs="Times New Roman"/>
        </w:rPr>
        <w:t xml:space="preserve"> (</w:t>
      </w:r>
      <w:r w:rsidRPr="00E87A5F">
        <w:rPr>
          <w:rFonts w:ascii="Times New Roman" w:hAnsi="Times New Roman" w:cs="Times New Roman"/>
        </w:rPr>
        <w:t>strona internetowa LGD, gmin i innych partnerów), lokalne media oraz osobiste kontakty z innymi mieszkańcami. Szczegółowy plan komunikacji znajduje się w załączniku do LSR wraz z opisem.</w:t>
      </w:r>
      <w:bookmarkStart w:id="77" w:name="_Toc439184078"/>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Nagwek1"/>
        <w:rPr>
          <w:rFonts w:ascii="Times New Roman" w:hAnsi="Times New Roman" w:cs="Times New Roman"/>
          <w:sz w:val="22"/>
          <w:szCs w:val="22"/>
        </w:rPr>
      </w:pPr>
      <w:r w:rsidRPr="00E87A5F">
        <w:rPr>
          <w:rFonts w:ascii="Times New Roman" w:hAnsi="Times New Roman" w:cs="Times New Roman"/>
          <w:sz w:val="22"/>
          <w:szCs w:val="22"/>
        </w:rPr>
        <w:t>Rozdział X  Zintegrowanie</w:t>
      </w:r>
      <w:bookmarkEnd w:id="77"/>
    </w:p>
    <w:p w:rsidR="005F5E3C" w:rsidRPr="00E87A5F" w:rsidRDefault="005F5E3C" w:rsidP="005F5E3C">
      <w:pPr>
        <w:rPr>
          <w:rFonts w:ascii="Times New Roman" w:hAnsi="Times New Roman" w:cs="Times New Roman"/>
        </w:rPr>
      </w:pP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Działania zapisane w Lokalnej Strategii Rozwoju wyróżnia idea podejścia zintegrowanego. Lokalna Strategia Rozwoju powstała w celu wspólnego rozwiązywania problemów, wymiany zasobów i doświadczeń, lepszej koordynacji działań w sferze społecznej, gospodarczej i publicznej przy wykorzystaniu współpracy lokalnych samorządów, organizacji i przedsiębiorców. LGD Kwiat Lnu realizuje swoje działania poprzez wielosektorowe podejście, integrację i współdziałanie mające na celu 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gospodarczy oparty na wykorzystaniu zasobów obszaru z poszanowaniem środowiska i przeciwdziałaniu zmianom klimatycznym.</w:t>
      </w: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Obszary zintegrowania LSR to:</w:t>
      </w:r>
      <w:r w:rsidRPr="00E87A5F">
        <w:rPr>
          <w:rFonts w:ascii="Times New Roman" w:hAnsi="Times New Roman" w:cs="Times New Roman"/>
          <w:b/>
        </w:rPr>
        <w:t xml:space="preserve"> integracja i spójność terytorialna, społeczna i gospodarcza</w:t>
      </w:r>
      <w:r w:rsidRPr="00E87A5F">
        <w:rPr>
          <w:rFonts w:ascii="Times New Roman" w:hAnsi="Times New Roman" w:cs="Times New Roman"/>
        </w:rPr>
        <w:t xml:space="preserve"> - obszar Kwiatu Lnu charakteryzuje się podobnymi zasobami związanymi z położeniem geograficznym, zasobami środowiskowymi i przyrodniczymi, dziedzictwem </w:t>
      </w:r>
      <w:proofErr w:type="spellStart"/>
      <w:r w:rsidRPr="00E87A5F">
        <w:rPr>
          <w:rFonts w:ascii="Times New Roman" w:hAnsi="Times New Roman" w:cs="Times New Roman"/>
        </w:rPr>
        <w:t>historyczno</w:t>
      </w:r>
      <w:proofErr w:type="spellEnd"/>
      <w:r w:rsidRPr="00E87A5F">
        <w:rPr>
          <w:rFonts w:ascii="Times New Roman" w:hAnsi="Times New Roman" w:cs="Times New Roman"/>
        </w:rPr>
        <w:t xml:space="preserve"> – kulturowym oraz podobnym poziomem rozwoju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–gospodarczego i wynikającymi z tego problemami dla jakości życia / diagnoza i analiza SWOT/; </w:t>
      </w:r>
      <w:r w:rsidRPr="00E87A5F">
        <w:rPr>
          <w:rFonts w:ascii="Times New Roman" w:hAnsi="Times New Roman" w:cs="Times New Roman"/>
          <w:b/>
        </w:rPr>
        <w:t>łączenie sektorowych i dziedzinowych interwencji</w:t>
      </w:r>
      <w:r w:rsidRPr="00E87A5F">
        <w:rPr>
          <w:rFonts w:ascii="Times New Roman" w:hAnsi="Times New Roman" w:cs="Times New Roman"/>
        </w:rPr>
        <w:t xml:space="preserve"> poprzez wzajemnie wzmacnianie się działań w celach szczegółowych i przedsięwzięciach np. interwencje  w zakresie infrastruktury turystycznej łączą się z  zachowaniem dziedzictwa kulturowego i przyrodniczego oraz promocją oferty produktów turystycznych i marki regionu, wspieranie i nowych podmiotów gospodarczych i rozwijanie istniejących kierowane będzie przede wszystkim w obszarze rozwoju turystyki, zakwaterowania i gastronomii, korzyści z takich powiązań przedsięwzięć i projektów trafią do różnych grup wymagających wsparcia lub lepszego wykorzystania ich potencjału;   </w:t>
      </w:r>
      <w:r w:rsidRPr="00E87A5F">
        <w:rPr>
          <w:rFonts w:ascii="Times New Roman" w:hAnsi="Times New Roman" w:cs="Times New Roman"/>
          <w:b/>
        </w:rPr>
        <w:t>sieci współpracy i integracji</w:t>
      </w:r>
      <w:r w:rsidRPr="00E87A5F">
        <w:rPr>
          <w:rFonts w:ascii="Times New Roman" w:hAnsi="Times New Roman" w:cs="Times New Roman"/>
        </w:rPr>
        <w:t xml:space="preserve">  realizowane poprzez ścisłe współdziałanie różnych podmiotów przy tworzeniu i wdrażaniu LSR np. poprzez partnerskie angażowanie różnych grup i organizacji lub kierowanie działań do grup zagrożonych wykluczeniem  w trakcie realizacji projektów lub łączenie we współpracy podmiotów gospodarczych i organizacji przy promocji obszaru LGD; </w:t>
      </w:r>
      <w:r w:rsidRPr="00E87A5F">
        <w:rPr>
          <w:rFonts w:ascii="Times New Roman" w:hAnsi="Times New Roman" w:cs="Times New Roman"/>
          <w:b/>
        </w:rPr>
        <w:t xml:space="preserve">zintegrowanie celów i przedsięwzięć LSR </w:t>
      </w:r>
      <w:r w:rsidRPr="00E87A5F">
        <w:rPr>
          <w:rFonts w:ascii="Times New Roman" w:hAnsi="Times New Roman" w:cs="Times New Roman"/>
        </w:rPr>
        <w:t>w kontekście realizacji strategii gmin obszaru LGD, strategii  Aglomeracji Wałbrzyskiej, strategii województwa dolnośląskiego.</w:t>
      </w:r>
    </w:p>
    <w:p w:rsidR="005F5E3C"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Cele i przedsięwzięcia w Lokalnej Strategii Rozwoju w większości przenikają się z celami i zadaniami określonymi w strategiach gmin i Strategii ZIT Aglomeracji Wałbrzyskiej oraz Strategią Rozwoju Województwa Dolnośląskiego, głównie w zakresie turystyki, rozwoju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gospodarczego oraz środowiska. Cele zapisane w LSR są komplementarne  z celami i założeniami innych strategii w całości tworząc spójne dokumenty służące rozwoju naszego regionu. Obrazuje to poniższa tabela.</w:t>
      </w: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sectPr w:rsidR="005B0671" w:rsidSect="003A2AD2">
          <w:type w:val="nextColumn"/>
          <w:pgSz w:w="11906" w:h="16838"/>
          <w:pgMar w:top="567" w:right="567" w:bottom="567" w:left="851" w:header="709" w:footer="3" w:gutter="0"/>
          <w:cols w:space="708"/>
          <w:docGrid w:linePitch="360"/>
        </w:sectPr>
      </w:pPr>
    </w:p>
    <w:p w:rsidR="005B0671" w:rsidRPr="005B0671" w:rsidRDefault="005B0671" w:rsidP="005F5E3C">
      <w:pPr>
        <w:shd w:val="clear" w:color="auto" w:fill="FFFFFF" w:themeFill="background1"/>
        <w:spacing w:after="0" w:line="240" w:lineRule="auto"/>
        <w:jc w:val="both"/>
        <w:rPr>
          <w:rFonts w:ascii="Times New Roman" w:hAnsi="Times New Roman" w:cs="Times New Roman"/>
        </w:rPr>
      </w:pPr>
    </w:p>
    <w:p w:rsidR="005B0671" w:rsidRPr="005B0671" w:rsidRDefault="005B0671" w:rsidP="005B0671">
      <w:pPr>
        <w:pStyle w:val="Legenda"/>
        <w:keepNext/>
        <w:rPr>
          <w:rFonts w:ascii="Times New Roman" w:hAnsi="Times New Roman"/>
          <w:sz w:val="22"/>
          <w:szCs w:val="22"/>
        </w:rPr>
      </w:pPr>
      <w:r w:rsidRPr="005B0671">
        <w:rPr>
          <w:rFonts w:ascii="Times New Roman" w:hAnsi="Times New Roman"/>
          <w:sz w:val="22"/>
          <w:szCs w:val="22"/>
        </w:rPr>
        <w:t xml:space="preserve">Tabela </w:t>
      </w:r>
      <w:r w:rsidR="004F4A74" w:rsidRPr="005B0671">
        <w:rPr>
          <w:rFonts w:ascii="Times New Roman" w:hAnsi="Times New Roman"/>
          <w:sz w:val="22"/>
          <w:szCs w:val="22"/>
        </w:rPr>
        <w:fldChar w:fldCharType="begin"/>
      </w:r>
      <w:r w:rsidRPr="005B0671">
        <w:rPr>
          <w:rFonts w:ascii="Times New Roman" w:hAnsi="Times New Roman"/>
          <w:sz w:val="22"/>
          <w:szCs w:val="22"/>
        </w:rPr>
        <w:instrText xml:space="preserve"> SEQ Tabela \* ARABIC </w:instrText>
      </w:r>
      <w:r w:rsidR="004F4A74" w:rsidRPr="005B0671">
        <w:rPr>
          <w:rFonts w:ascii="Times New Roman" w:hAnsi="Times New Roman"/>
          <w:sz w:val="22"/>
          <w:szCs w:val="22"/>
        </w:rPr>
        <w:fldChar w:fldCharType="separate"/>
      </w:r>
      <w:r w:rsidR="006518FD">
        <w:rPr>
          <w:rFonts w:ascii="Times New Roman" w:hAnsi="Times New Roman"/>
          <w:noProof/>
          <w:sz w:val="22"/>
          <w:szCs w:val="22"/>
        </w:rPr>
        <w:t>21</w:t>
      </w:r>
      <w:r w:rsidR="004F4A74" w:rsidRPr="005B0671">
        <w:rPr>
          <w:rFonts w:ascii="Times New Roman" w:hAnsi="Times New Roman"/>
          <w:sz w:val="22"/>
          <w:szCs w:val="22"/>
        </w:rPr>
        <w:fldChar w:fldCharType="end"/>
      </w:r>
      <w:r w:rsidRPr="005B0671">
        <w:rPr>
          <w:rFonts w:ascii="Times New Roman" w:hAnsi="Times New Roman"/>
          <w:sz w:val="22"/>
          <w:szCs w:val="22"/>
        </w:rPr>
        <w:t>. Powiązania LSR z innymi dokumentami strategicznymi związanymi z obszarem LGD</w:t>
      </w:r>
    </w:p>
    <w:tbl>
      <w:tblPr>
        <w:tblW w:w="14574"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top w:w="55" w:type="dxa"/>
          <w:left w:w="55" w:type="dxa"/>
          <w:bottom w:w="55" w:type="dxa"/>
          <w:right w:w="55" w:type="dxa"/>
        </w:tblCellMar>
        <w:tblLook w:val="0000" w:firstRow="0" w:lastRow="0" w:firstColumn="0" w:lastColumn="0" w:noHBand="0" w:noVBand="0"/>
      </w:tblPr>
      <w:tblGrid>
        <w:gridCol w:w="2977"/>
        <w:gridCol w:w="1418"/>
        <w:gridCol w:w="1425"/>
        <w:gridCol w:w="1551"/>
        <w:gridCol w:w="7203"/>
      </w:tblGrid>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Dokument strategiczny</w:t>
            </w:r>
          </w:p>
        </w:tc>
        <w:tc>
          <w:tcPr>
            <w:tcW w:w="1418"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p>
          <w:p w:rsidR="005B0671" w:rsidRPr="004B103D" w:rsidRDefault="005B0671" w:rsidP="00067FD0">
            <w:pPr>
              <w:widowControl w:val="0"/>
              <w:suppressLineNumbers/>
              <w:spacing w:after="0" w:line="240" w:lineRule="auto"/>
              <w:rPr>
                <w:rFonts w:ascii="Times New Roman" w:eastAsia="SimSun" w:hAnsi="Times New Roman" w:cs="Times New Roman"/>
                <w:bCs/>
                <w:kern w:val="1"/>
                <w:lang w:eastAsia="hi-IN" w:bidi="hi-IN"/>
              </w:rPr>
            </w:pPr>
            <w:r w:rsidRPr="004B103D">
              <w:rPr>
                <w:rFonts w:ascii="Times New Roman" w:hAnsi="Times New Roman" w:cs="Times New Roman"/>
              </w:rPr>
              <w:t xml:space="preserve">Region z zadbaną przestrzenią publiczną i środowiskiem, atrakcyjny turystycznie  </w:t>
            </w:r>
          </w:p>
        </w:tc>
        <w:tc>
          <w:tcPr>
            <w:tcW w:w="1425"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Cel 1.2 LSR </w:t>
            </w:r>
          </w:p>
          <w:p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Aktywna, zintegrowana i świadoma ekologicznie  społeczność lokalna</w:t>
            </w:r>
          </w:p>
        </w:tc>
        <w:tc>
          <w:tcPr>
            <w:tcW w:w="1551"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1.3 LSR</w:t>
            </w:r>
          </w:p>
          <w:p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Aktywne, innowacyjne podmioty gospodarcze tworzące miejsca pracy,  dbające o ochronę środowiska i łagodzenie zmian klimatycznych</w:t>
            </w:r>
          </w:p>
        </w:tc>
        <w:tc>
          <w:tcPr>
            <w:tcW w:w="7203"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Opis zgodności i komplementarności</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wiejska Kamienna Góra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Lokalna Strategia Rozwoju Gminy</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2015-2022</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1.2 strategii</w:t>
            </w:r>
            <w:r w:rsidRPr="004B103D">
              <w:rPr>
                <w:rFonts w:ascii="Times New Roman" w:eastAsia="SimSun" w:hAnsi="Times New Roman" w:cs="Times New Roman"/>
                <w:kern w:val="1"/>
                <w:lang w:eastAsia="hi-IN" w:bidi="hi-IN"/>
              </w:rPr>
              <w:t xml:space="preserve"> „wzmocnienie funkcji turystycznej”, </w:t>
            </w:r>
            <w:r w:rsidRPr="004B103D">
              <w:rPr>
                <w:rFonts w:ascii="Times New Roman" w:eastAsia="SimSun" w:hAnsi="Times New Roman" w:cs="Times New Roman"/>
                <w:kern w:val="1"/>
                <w:u w:val="single"/>
                <w:lang w:eastAsia="hi-IN" w:bidi="hi-IN"/>
              </w:rPr>
              <w:t>zgodny z celem 1.3 strategii</w:t>
            </w:r>
            <w:r w:rsidRPr="004B103D">
              <w:rPr>
                <w:rFonts w:ascii="Times New Roman" w:eastAsia="SimSun" w:hAnsi="Times New Roman" w:cs="Times New Roman"/>
                <w:kern w:val="1"/>
                <w:lang w:eastAsia="hi-IN" w:bidi="hi-IN"/>
              </w:rPr>
              <w:t xml:space="preserve"> „skuteczna promocja gminy”,</w:t>
            </w:r>
            <w:r w:rsidRPr="004B103D">
              <w:rPr>
                <w:rFonts w:ascii="Times New Roman" w:eastAsia="SimSun" w:hAnsi="Times New Roman" w:cs="Times New Roman"/>
                <w:kern w:val="1"/>
                <w:u w:val="single"/>
                <w:lang w:eastAsia="hi-IN" w:bidi="hi-IN"/>
              </w:rPr>
              <w:t xml:space="preserve"> zgodny częściowo również z celem 2.1 strategii</w:t>
            </w:r>
            <w:r w:rsidRPr="004B103D">
              <w:rPr>
                <w:rFonts w:ascii="Times New Roman" w:eastAsia="SimSun" w:hAnsi="Times New Roman" w:cs="Times New Roman"/>
                <w:kern w:val="1"/>
                <w:lang w:eastAsia="hi-IN" w:bidi="hi-IN"/>
              </w:rPr>
              <w:t xml:space="preserve"> „rozwój infrastruktury na rzecz poprawy jakości życia mieszkańców” (w zakresie podnoszenia materialnego standardu funkcjonowania bazy sportowej i realizacji działań w zakresie odnowy wsi).</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2.2 strategii</w:t>
            </w:r>
            <w:r w:rsidRPr="004B103D">
              <w:rPr>
                <w:rFonts w:ascii="Times New Roman" w:eastAsia="SimSun" w:hAnsi="Times New Roman" w:cs="Times New Roman"/>
                <w:kern w:val="1"/>
                <w:lang w:eastAsia="hi-IN" w:bidi="hi-IN"/>
              </w:rPr>
              <w:t xml:space="preserve"> „poprawa jakości środowiska naturalnego” (w zakresie działań na rzecz ograniczenia niskiej emisji i poprawy efektywności energetycznej), zgodny z celem 3.1 strategii „wzmocnienie kapitału ludzkiego i społecznego”, </w:t>
            </w:r>
            <w:r w:rsidRPr="004B103D">
              <w:rPr>
                <w:rFonts w:ascii="Times New Roman" w:eastAsia="SimSun" w:hAnsi="Times New Roman" w:cs="Times New Roman"/>
                <w:kern w:val="1"/>
                <w:u w:val="single"/>
                <w:lang w:eastAsia="hi-IN" w:bidi="hi-IN"/>
              </w:rPr>
              <w:t>zgodny częściowo z celem 3.2 strategii</w:t>
            </w:r>
            <w:r w:rsidRPr="004B103D">
              <w:rPr>
                <w:rFonts w:ascii="Times New Roman" w:eastAsia="SimSun" w:hAnsi="Times New Roman" w:cs="Times New Roman"/>
                <w:kern w:val="1"/>
                <w:lang w:eastAsia="hi-IN" w:bidi="hi-IN"/>
              </w:rPr>
              <w:t xml:space="preserve"> „wdrażanie narzędzi partycypacji obywatelskiej” (w zakresie upowszechniania konsultacji, dyskusji, itp.)</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1.1 strategii</w:t>
            </w:r>
            <w:r w:rsidRPr="004B103D">
              <w:rPr>
                <w:rFonts w:ascii="Times New Roman" w:eastAsia="SimSun" w:hAnsi="Times New Roman" w:cs="Times New Roman"/>
                <w:kern w:val="1"/>
                <w:lang w:eastAsia="hi-IN" w:bidi="hi-IN"/>
              </w:rPr>
              <w:t xml:space="preserve"> „rozwój przedsiębiorczości”,</w:t>
            </w:r>
            <w:r w:rsidRPr="004B103D">
              <w:rPr>
                <w:rFonts w:ascii="Times New Roman" w:eastAsia="SimSun" w:hAnsi="Times New Roman" w:cs="Times New Roman"/>
                <w:kern w:val="1"/>
                <w:u w:val="single"/>
                <w:lang w:eastAsia="hi-IN" w:bidi="hi-IN"/>
              </w:rPr>
              <w:t xml:space="preserve"> zgodny częściowo z celem 1.2 strategii</w:t>
            </w:r>
            <w:r w:rsidRPr="004B103D">
              <w:rPr>
                <w:rFonts w:ascii="Times New Roman" w:eastAsia="SimSun" w:hAnsi="Times New Roman" w:cs="Times New Roman"/>
                <w:kern w:val="1"/>
                <w:lang w:eastAsia="hi-IN" w:bidi="hi-IN"/>
              </w:rPr>
              <w:t xml:space="preserve"> „wzmocnienie funkcji turystycznej” (m.in.: w zakresie rozwoju obiektów noclegowych, nowych miejsc rekreacji i wypoczynku) </w:t>
            </w:r>
          </w:p>
        </w:tc>
      </w:tr>
      <w:tr w:rsidR="005B0671" w:rsidRPr="004B103D" w:rsidTr="005B0671">
        <w:trPr>
          <w:trHeight w:val="3104"/>
        </w:trPr>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b/>
                <w:bCs/>
                <w:kern w:val="1"/>
                <w:lang w:eastAsia="hi-IN" w:bidi="hi-IN"/>
              </w:rPr>
              <w:lastRenderedPageBreak/>
              <w:t>Miasto Boguszów-</w:t>
            </w:r>
            <w:r w:rsidRPr="004B103D">
              <w:rPr>
                <w:rFonts w:ascii="Times New Roman" w:eastAsia="SimSun" w:hAnsi="Times New Roman" w:cs="Times New Roman"/>
                <w:b/>
                <w:bCs/>
                <w:kern w:val="1"/>
                <w:lang w:eastAsia="hi-IN" w:bidi="hi-IN"/>
              </w:rPr>
              <w:t>Gorce</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Miasta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2014 - 2020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priorytetem 2 strategii</w:t>
            </w:r>
            <w:r w:rsidRPr="004B103D">
              <w:rPr>
                <w:rFonts w:ascii="Times New Roman" w:eastAsia="SimSun" w:hAnsi="Times New Roman" w:cs="Times New Roman"/>
                <w:kern w:val="1"/>
                <w:lang w:eastAsia="hi-IN" w:bidi="hi-IN"/>
              </w:rPr>
              <w:t xml:space="preserve"> „atrakcyjne środowisko zamieszkania” (w zakresie rozwoju infrastruktury wykorzystującej walory przyrodnicze, poprawy estetyki miejskiej przestrzeni publicznej), </w:t>
            </w:r>
            <w:r w:rsidRPr="004B103D">
              <w:rPr>
                <w:rFonts w:ascii="Times New Roman" w:eastAsia="SimSun" w:hAnsi="Times New Roman" w:cs="Times New Roman"/>
                <w:kern w:val="1"/>
                <w:u w:val="single"/>
                <w:lang w:eastAsia="hi-IN" w:bidi="hi-IN"/>
              </w:rPr>
              <w:t xml:space="preserve">zgodny z priorytetem 5 strategii </w:t>
            </w:r>
            <w:r w:rsidRPr="004B103D">
              <w:rPr>
                <w:rFonts w:ascii="Times New Roman" w:eastAsia="SimSun" w:hAnsi="Times New Roman" w:cs="Times New Roman"/>
                <w:kern w:val="1"/>
                <w:lang w:eastAsia="hi-IN" w:bidi="hi-IN"/>
              </w:rPr>
              <w:t xml:space="preserve">„przyjazna przestrzeń turystyczna” (w zakresie przebudowa i remonty istniejących oraz budowa nowych obiektów i urządzeń infrastruktury turystycznej), </w:t>
            </w:r>
            <w:r w:rsidRPr="004B103D">
              <w:rPr>
                <w:rFonts w:ascii="Times New Roman" w:eastAsia="SimSun" w:hAnsi="Times New Roman" w:cs="Times New Roman"/>
                <w:kern w:val="1"/>
                <w:u w:val="single"/>
                <w:lang w:eastAsia="hi-IN" w:bidi="hi-IN"/>
              </w:rPr>
              <w:t>zgodny z priorytetem 6 strategii</w:t>
            </w:r>
            <w:r w:rsidRPr="004B103D">
              <w:rPr>
                <w:rFonts w:ascii="Times New Roman" w:eastAsia="SimSun" w:hAnsi="Times New Roman" w:cs="Times New Roman"/>
                <w:kern w:val="1"/>
                <w:lang w:eastAsia="hi-IN" w:bidi="hi-IN"/>
              </w:rPr>
              <w:t xml:space="preserve"> „nowy wizerunek Boguszowa Gorc”</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4 strategii</w:t>
            </w:r>
            <w:r w:rsidRPr="004B103D">
              <w:rPr>
                <w:rFonts w:ascii="Times New Roman" w:eastAsia="SimSun" w:hAnsi="Times New Roman" w:cs="Times New Roman"/>
                <w:kern w:val="1"/>
                <w:lang w:eastAsia="hi-IN" w:bidi="hi-IN"/>
              </w:rPr>
              <w:t xml:space="preserve"> „aktywna społeczność”,</w:t>
            </w:r>
            <w:r w:rsidRPr="004B103D">
              <w:rPr>
                <w:rFonts w:ascii="Times New Roman" w:eastAsia="SimSun" w:hAnsi="Times New Roman" w:cs="Times New Roman"/>
                <w:kern w:val="1"/>
                <w:u w:val="single"/>
                <w:lang w:eastAsia="hi-IN" w:bidi="hi-IN"/>
              </w:rPr>
              <w:t xml:space="preserve"> zgodny częściowo z priorytetem 2 strategii</w:t>
            </w:r>
            <w:r w:rsidRPr="004B103D">
              <w:rPr>
                <w:rFonts w:ascii="Times New Roman" w:eastAsia="SimSun" w:hAnsi="Times New Roman" w:cs="Times New Roman"/>
                <w:kern w:val="1"/>
                <w:lang w:eastAsia="hi-IN" w:bidi="hi-IN"/>
              </w:rPr>
              <w:t xml:space="preserve"> „atrakcyjne środowisko zamieszkania” (w zakresie działań zwiększających świadomość ekologiczną”</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1 strategii</w:t>
            </w:r>
            <w:r w:rsidRPr="004B103D">
              <w:rPr>
                <w:rFonts w:ascii="Times New Roman" w:eastAsia="SimSun" w:hAnsi="Times New Roman" w:cs="Times New Roman"/>
                <w:kern w:val="1"/>
                <w:lang w:eastAsia="hi-IN" w:bidi="hi-IN"/>
              </w:rPr>
              <w:t xml:space="preserve"> „dynamiczna gospodarka i rozwój przedsiębiorczości”, </w:t>
            </w:r>
            <w:r w:rsidRPr="004B103D">
              <w:rPr>
                <w:rFonts w:ascii="Times New Roman" w:eastAsia="SimSun" w:hAnsi="Times New Roman" w:cs="Times New Roman"/>
                <w:kern w:val="1"/>
                <w:u w:val="single"/>
                <w:lang w:eastAsia="hi-IN" w:bidi="hi-IN"/>
              </w:rPr>
              <w:t>zgodny częściowo z priorytetem 4 strategii</w:t>
            </w:r>
            <w:r w:rsidRPr="004B103D">
              <w:rPr>
                <w:rFonts w:ascii="Times New Roman" w:eastAsia="SimSun" w:hAnsi="Times New Roman" w:cs="Times New Roman"/>
                <w:kern w:val="1"/>
                <w:lang w:eastAsia="hi-IN" w:bidi="hi-IN"/>
              </w:rPr>
              <w:t xml:space="preserve"> „aktywna społeczność” (w zakresie samozatrudnienia, przedsiębiorczości i tworzenia nowych miejsc pracy, wspierania ekonomii społecznej, podnoszenia kwalifikacji zawodowych) </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Marciszów</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2011 - 2020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3 (O3)</w:t>
            </w:r>
            <w:r w:rsidRPr="004B103D">
              <w:rPr>
                <w:rFonts w:ascii="Times New Roman" w:eastAsia="SimSun" w:hAnsi="Times New Roman" w:cs="Times New Roman"/>
                <w:kern w:val="1"/>
                <w:lang w:eastAsia="hi-IN" w:bidi="hi-IN"/>
              </w:rPr>
              <w:t xml:space="preserve"> strategii „rozwój funkcji turystyczno-rekreacyjnych” (priorytety P07, P08, P09), </w:t>
            </w:r>
            <w:r w:rsidRPr="004B103D">
              <w:rPr>
                <w:rFonts w:ascii="Times New Roman" w:eastAsia="SimSun" w:hAnsi="Times New Roman" w:cs="Times New Roman"/>
                <w:kern w:val="1"/>
                <w:u w:val="single"/>
                <w:lang w:eastAsia="hi-IN" w:bidi="hi-IN"/>
              </w:rPr>
              <w:t>zgodny z celem operacyjnym 5 strategii (O5)</w:t>
            </w:r>
            <w:r w:rsidRPr="004B103D">
              <w:rPr>
                <w:rFonts w:ascii="Times New Roman" w:eastAsia="SimSun" w:hAnsi="Times New Roman" w:cs="Times New Roman"/>
                <w:kern w:val="1"/>
                <w:lang w:eastAsia="hi-IN" w:bidi="hi-IN"/>
              </w:rPr>
              <w:t xml:space="preserve"> „rozwój funkcji sportowo-rekreacyjnych” (priorytety P14, P15)</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operacyjnym 16 (O16)</w:t>
            </w:r>
            <w:r w:rsidRPr="004B103D">
              <w:rPr>
                <w:rFonts w:ascii="Times New Roman" w:eastAsia="SimSun" w:hAnsi="Times New Roman" w:cs="Times New Roman"/>
                <w:kern w:val="1"/>
                <w:lang w:eastAsia="hi-IN" w:bidi="hi-IN"/>
              </w:rPr>
              <w:t xml:space="preserve"> strategii „rozwój systemów zarządzania informacją o środowisku' (priorytet P51), </w:t>
            </w:r>
            <w:r w:rsidRPr="004B103D">
              <w:rPr>
                <w:rFonts w:ascii="Times New Roman" w:eastAsia="SimSun" w:hAnsi="Times New Roman" w:cs="Times New Roman"/>
                <w:kern w:val="1"/>
                <w:u w:val="single"/>
                <w:lang w:eastAsia="hi-IN" w:bidi="hi-IN"/>
              </w:rPr>
              <w:t>zgodny z celem operacyjnym 11(O11)</w:t>
            </w:r>
            <w:r w:rsidRPr="004B103D">
              <w:rPr>
                <w:rFonts w:ascii="Times New Roman" w:eastAsia="SimSun" w:hAnsi="Times New Roman" w:cs="Times New Roman"/>
                <w:kern w:val="1"/>
                <w:lang w:eastAsia="hi-IN" w:bidi="hi-IN"/>
              </w:rPr>
              <w:t xml:space="preserve"> strategii „rozwój systemu kultury” (priorytet P37), </w:t>
            </w:r>
            <w:r w:rsidRPr="004B103D">
              <w:rPr>
                <w:rFonts w:ascii="Times New Roman" w:eastAsia="SimSun" w:hAnsi="Times New Roman" w:cs="Times New Roman"/>
                <w:kern w:val="1"/>
                <w:u w:val="single"/>
                <w:lang w:eastAsia="hi-IN" w:bidi="hi-IN"/>
              </w:rPr>
              <w:t>zgodny częściowo z celami operacyjnymi 6 (O6), 7 (O7), 9 (O9) strategii</w:t>
            </w:r>
            <w:r w:rsidRPr="004B103D">
              <w:rPr>
                <w:rFonts w:ascii="Times New Roman" w:eastAsia="SimSun" w:hAnsi="Times New Roman" w:cs="Times New Roman"/>
                <w:kern w:val="1"/>
                <w:lang w:eastAsia="hi-IN" w:bidi="hi-IN"/>
              </w:rPr>
              <w:t xml:space="preserve"> (odpowiednio priorytety P20, P24, P32)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1 (O1)</w:t>
            </w:r>
            <w:r w:rsidRPr="004B103D">
              <w:rPr>
                <w:rFonts w:ascii="Times New Roman" w:eastAsia="SimSun" w:hAnsi="Times New Roman" w:cs="Times New Roman"/>
                <w:kern w:val="1"/>
                <w:lang w:eastAsia="hi-IN" w:bidi="hi-IN"/>
              </w:rPr>
              <w:t xml:space="preserve"> „rozwój przedsiębiorczości” (priorytet P02), </w:t>
            </w:r>
            <w:r w:rsidRPr="004B103D">
              <w:rPr>
                <w:rFonts w:ascii="Times New Roman" w:eastAsia="SimSun" w:hAnsi="Times New Roman" w:cs="Times New Roman"/>
                <w:kern w:val="1"/>
                <w:u w:val="single"/>
                <w:lang w:eastAsia="hi-IN" w:bidi="hi-IN"/>
              </w:rPr>
              <w:t>zgodny częściowo z celem operacyjnym (O3) strategii</w:t>
            </w:r>
            <w:r w:rsidRPr="004B103D">
              <w:rPr>
                <w:rFonts w:ascii="Times New Roman" w:eastAsia="SimSun" w:hAnsi="Times New Roman" w:cs="Times New Roman"/>
                <w:kern w:val="1"/>
                <w:lang w:eastAsia="hi-IN" w:bidi="hi-IN"/>
              </w:rPr>
              <w:t xml:space="preserve"> „rozwój funkcji turystyczno-rekreacyjnych” (priorytet P09)</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Mieroszów</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Gminy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1.2, 1.5, 1.10, 1.11, 1.13, 1.14, 1.15, 3.3, 3.16, 5.11, 8.1-8.11, 9.3, </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1.9, 1.11, 1.18, 3.8, 3.10, 3.18, 3.19, 7.3,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1.7, 1.8, 2.2, 2.6, 3.6, 3.14, 3.20, 6.3, 6.5, 7.5, </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Szczawno Zdrój</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Uzdrowiskowej Gminy </w:t>
            </w:r>
            <w:r>
              <w:rPr>
                <w:rFonts w:ascii="Times New Roman" w:eastAsia="SimSun" w:hAnsi="Times New Roman" w:cs="Times New Roman"/>
                <w:kern w:val="1"/>
                <w:lang w:eastAsia="hi-IN" w:bidi="hi-IN"/>
              </w:rPr>
              <w:lastRenderedPageBreak/>
              <w:t>Miejskiej Szczawno-</w:t>
            </w:r>
            <w:r w:rsidRPr="004B103D">
              <w:rPr>
                <w:rFonts w:ascii="Times New Roman" w:eastAsia="SimSun" w:hAnsi="Times New Roman" w:cs="Times New Roman"/>
                <w:kern w:val="1"/>
                <w:lang w:eastAsia="hi-IN" w:bidi="hi-IN"/>
              </w:rPr>
              <w:t>Zdrój</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lastRenderedPageBreak/>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II.3, III.1, III.6, V.1, V. 3</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I.8, I.11, V.2</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II.3, II.5, IV.5, IV.8, </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lastRenderedPageBreak/>
              <w:t>Gmina Lubawka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 Lubawka</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operacyjnym nr 7 (zadania strategiczne nr 3, nr 6, nr 20)</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operacyjnym nr 5 (zadania strategiczne nr  11, nr 16)</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nr 1 i nr 12 (zadania strategiczne nr 4 (częściowo), nr 9)</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Czarny Bór</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w:t>
            </w:r>
            <w:r w:rsidRPr="004B103D">
              <w:rPr>
                <w:rFonts w:ascii="Times New Roman" w:eastAsia="SimSun" w:hAnsi="Times New Roman" w:cs="Times New Roman"/>
                <w:kern w:val="1"/>
                <w:lang w:eastAsia="hi-IN" w:bidi="hi-IN"/>
              </w:rPr>
              <w:t xml:space="preserve">trategia Rozwoju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Gminy Czarny Bór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4F7D1A" w:rsidP="00067FD0">
            <w:pPr>
              <w:widowControl w:val="0"/>
              <w:suppressLineNumbers/>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kern w:val="1"/>
                <w:lang w:eastAsia="hi-IN" w:bidi="hi-IN"/>
              </w:rPr>
              <w:t xml:space="preserve">- </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nr 3, 4, 6 i 7 w obszarze „turystyka i ekologia”, zgodny z celem nr 1 w obszarze „kultura i sport”</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nr 5 w obszarze „turystyka i ekologia”, zgodny z celami nr 4 i 5 w obszarze „kultura i sport”, zgodny z celami nr 3 i 4 w obszarze „infrastruktura społeczna”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raczej brak zgodności tj.: w strategii gminy brak wyraźnych odniesień do wspierania tworzenia i rozwoju przedsiębiorstw;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można za takowe uznać cel nr 1 w obszarze „turystyka i ekologia”, ale jest to bardzo pośrednie nawiązanie</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Stare Bogaczowice</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Gminy Stare Bogaczowice</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nr 2, 3, 4, 6, w obszarze „turystyka i ekologia”, zgodny z celami operacyjnymi nr 1 i nr 5 w obszarze „kultura i sport”,  zgodny z celem operacyjnym nr 5 w obszarze „infrastruktura społeczna”. </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nr 1 i nr 7 w obszarze „turystyka i ekologia”, zgodny z celami operacyjnymi nr 2 i nr 4 w obszarze „kultura i sport”, zgodny z celem operacyjnym nr 4 w obszarze „infrastruktura społeczna, aktywizacja mieszkańców”</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częściowo z celami operacyjnymi nr 1 i nr 2 w obszarze  „infrastruktura społeczna, aktywizacja mieszkańców”</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Strategia Rozwoju </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Województwa Dolnośląskiego</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priorytetem 3.1.4 w obszarze „zasoby”, zgodny z priorytetem 2.1.5 w obszarze „rozwój obszarów wiejskich”, zgodny z priorytetami 4.1.1, 4.1.2 i 4.1.3 w obszarze „turystyka”, zgodny z priorytetem 6.1.12 w obszarze „sport”</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priorytetem 7.1.2 i 7.1.4 w obszarze „społeczeństwo i partnerstwo”, zgodny z priorytetem 4.1.4 w obszarze „turystyka”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priorytetem 8.1.3 i 8.1.8 w obszarze „przedsiębiorczość i innowacyjność”, </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 xml:space="preserve">Strategia Zintegrowanych </w:t>
            </w:r>
            <w:r w:rsidRPr="004B103D">
              <w:rPr>
                <w:rFonts w:ascii="Times New Roman" w:eastAsia="SimSun" w:hAnsi="Times New Roman" w:cs="Times New Roman"/>
                <w:b/>
                <w:bCs/>
                <w:kern w:val="1"/>
                <w:lang w:eastAsia="hi-IN" w:bidi="hi-IN"/>
              </w:rPr>
              <w:lastRenderedPageBreak/>
              <w:t>Inwestycji Terytorialnych Aglomeracji Wałbrzyskiej</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lastRenderedPageBreak/>
              <w:t>x</w:t>
            </w:r>
          </w:p>
        </w:tc>
        <w:tc>
          <w:tcPr>
            <w:tcW w:w="1425" w:type="dxa"/>
            <w:shd w:val="clear" w:color="auto" w:fill="auto"/>
            <w:vAlign w:val="center"/>
          </w:tcPr>
          <w:p w:rsidR="005B0671" w:rsidRPr="004B103D" w:rsidRDefault="004F7D1A" w:rsidP="00067FD0">
            <w:pPr>
              <w:widowControl w:val="0"/>
              <w:suppressLineNumber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 </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rozwojowym 2 (priorytet 2.3 ochrona </w:t>
            </w:r>
            <w:r w:rsidRPr="004B103D">
              <w:rPr>
                <w:rFonts w:ascii="Times New Roman" w:eastAsia="SimSun" w:hAnsi="Times New Roman" w:cs="Times New Roman"/>
                <w:kern w:val="1"/>
                <w:lang w:eastAsia="hi-IN" w:bidi="hi-IN"/>
              </w:rPr>
              <w:lastRenderedPageBreak/>
              <w:t xml:space="preserve">bioróżnorodności biologicznej na obszarach miejskich i pozamiejskich, priorytet 2.7 ochrona, promowanie i rozwój dziedzictwa kulturowego, </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w niewielkim stopniu z celem rozwojowym 4 (priorytet 4.3 promowanie włączenia społecznego)</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celem rozwojowym 1 (priorytet 1.1. wsparcie inwestycyjne dla MŚP)</w:t>
            </w:r>
          </w:p>
        </w:tc>
      </w:tr>
    </w:tbl>
    <w:p w:rsidR="005B0671" w:rsidRPr="004B103D" w:rsidRDefault="005B0671" w:rsidP="005B0671">
      <w:pPr>
        <w:shd w:val="clear" w:color="auto" w:fill="FFFFFF" w:themeFill="background1"/>
        <w:jc w:val="both"/>
        <w:rPr>
          <w:rFonts w:ascii="Times New Roman" w:hAnsi="Times New Roman" w:cs="Times New Roman"/>
        </w:rPr>
      </w:pPr>
      <w:r w:rsidRPr="004B103D">
        <w:rPr>
          <w:rFonts w:ascii="Times New Roman" w:hAnsi="Times New Roman" w:cs="Times New Roman"/>
        </w:rPr>
        <w:lastRenderedPageBreak/>
        <w:t>Źródło: opracowanie własne LGD</w:t>
      </w:r>
    </w:p>
    <w:p w:rsidR="005B0671" w:rsidRPr="004B103D" w:rsidRDefault="005B0671" w:rsidP="005B0671">
      <w:pPr>
        <w:shd w:val="clear" w:color="auto" w:fill="FFFFFF" w:themeFill="background1"/>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3A2AD2">
      <w:pPr>
        <w:rPr>
          <w:rFonts w:ascii="Times New Roman" w:hAnsi="Times New Roman" w:cs="Times New Roman"/>
        </w:rPr>
        <w:sectPr w:rsidR="005B0671" w:rsidSect="005B0671">
          <w:pgSz w:w="16838" w:h="11906" w:orient="landscape"/>
          <w:pgMar w:top="567" w:right="567" w:bottom="567" w:left="851" w:header="709" w:footer="709" w:gutter="0"/>
          <w:cols w:space="708"/>
          <w:docGrid w:linePitch="360"/>
        </w:sectPr>
      </w:pPr>
      <w:r>
        <w:rPr>
          <w:rFonts w:ascii="Times New Roman" w:hAnsi="Times New Roman" w:cs="Times New Roman"/>
        </w:rPr>
        <w:br w:type="page"/>
      </w:r>
      <w:bookmarkStart w:id="78" w:name="_Toc439184079"/>
    </w:p>
    <w:p w:rsidR="005F5E3C" w:rsidRPr="00E87A5F" w:rsidRDefault="005F5E3C" w:rsidP="005F5E3C">
      <w:pPr>
        <w:pStyle w:val="Nagwek1"/>
        <w:spacing w:line="240" w:lineRule="auto"/>
        <w:jc w:val="both"/>
        <w:rPr>
          <w:rFonts w:ascii="Times New Roman" w:hAnsi="Times New Roman" w:cs="Times New Roman"/>
          <w:sz w:val="22"/>
          <w:szCs w:val="22"/>
        </w:rPr>
      </w:pPr>
      <w:r w:rsidRPr="00E87A5F">
        <w:rPr>
          <w:rFonts w:ascii="Times New Roman" w:hAnsi="Times New Roman" w:cs="Times New Roman"/>
          <w:sz w:val="22"/>
          <w:szCs w:val="22"/>
        </w:rPr>
        <w:lastRenderedPageBreak/>
        <w:t>Rozdział XI Monitoring i ewaluacja</w:t>
      </w:r>
      <w:bookmarkEnd w:id="78"/>
    </w:p>
    <w:p w:rsidR="005F5E3C" w:rsidRPr="00E87A5F" w:rsidRDefault="005F5E3C" w:rsidP="005F5E3C">
      <w:pPr>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Ogólna charakterystyka zasad i procedur dokonywania ewaluacji oraz monitorowania wskazująca główne elementy podlegające badaniom oraz podmioty dokonujące ewaluacji i monitorowania (wewnętrzne czy zewnętrzne).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Celem procedury jest monitorowanie i ewaluacja wdrażania Lokalnej Strategii Rozwoju oraz pracy i oddziaływania na obszar Lokalnej Grupy Działania Kwiat Lnu poprzez ocenę wskaźników produktu, rezultatu, zakresu planowanych przedsięwzięć oraz weryfikację założonych w LSR celów.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procedury: procedura monitoringu i ewaluacji obejmuje czynności niezbędne do rejestrowania najbardziej bezpośrednich efektów wdrażania produktów i ustalenie związku pomiędzy podjętymi działaniami, a uzyskanymi rezultatami w ujęciu średnio i długookresowymi.</w:t>
      </w:r>
    </w:p>
    <w:p w:rsidR="005F5E3C" w:rsidRPr="00E87A5F" w:rsidRDefault="005F5E3C" w:rsidP="005F5E3C">
      <w:pPr>
        <w:pStyle w:val="Nagwek1"/>
        <w:rPr>
          <w:rFonts w:ascii="Times New Roman" w:eastAsia="Times New Roman" w:hAnsi="Times New Roman" w:cs="Times New Roman"/>
          <w:kern w:val="1"/>
          <w:sz w:val="22"/>
          <w:szCs w:val="22"/>
          <w:lang w:eastAsia="ar-SA"/>
        </w:rPr>
      </w:pPr>
      <w:bookmarkStart w:id="79" w:name="_Toc433797040"/>
      <w:bookmarkStart w:id="80" w:name="_Toc439184080"/>
      <w:r w:rsidRPr="00E87A5F">
        <w:rPr>
          <w:rFonts w:ascii="Times New Roman" w:eastAsia="Times New Roman" w:hAnsi="Times New Roman" w:cs="Times New Roman"/>
          <w:kern w:val="1"/>
          <w:sz w:val="22"/>
          <w:szCs w:val="22"/>
          <w:lang w:eastAsia="ar-SA"/>
        </w:rPr>
        <w:t>Rozdział XII Strategiczna ocena oddziaływania na środowisko</w:t>
      </w:r>
      <w:bookmarkEnd w:id="79"/>
      <w:bookmarkEnd w:id="80"/>
    </w:p>
    <w:p w:rsidR="005F5E3C" w:rsidRPr="00E87A5F" w:rsidRDefault="005F5E3C" w:rsidP="005F5E3C">
      <w:pPr>
        <w:rPr>
          <w:rFonts w:ascii="Times New Roman" w:hAnsi="Times New Roman" w:cs="Times New Roman"/>
          <w:lang w:eastAsia="ar-SA"/>
        </w:rPr>
      </w:pPr>
    </w:p>
    <w:p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Informacja o przeprowadzeniu analizy LSR pod kątem spełnienia kryteriów kwalifikujących do strategicznej oceny oddziaływania na środowisko i o wynikach tej analizy. </w:t>
      </w:r>
    </w:p>
    <w:p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Zgodnie z art.48 ust.1, art.57 ust.1 pkt 2 oraz art. 58 ust.1 pkt 2 ustawy z dnia 3.10.2008 r. o udostępnianiu informacji o środowisku i jego ochronie, udziale społeczeństwa w ochronie środowiska oraz o ocenach oddziaływania na środowisko Stowarzyszenie LGD Kwiat lnu wystąpiła do Regionalnego Dyrektora Ochrony Środowiska (RDOŚ) we Wrocławiu oraz do Państwowego Wojewódzkiego Inspektora Sanitarnego (PWIS) we Wrocławiu o opinię w sprawie odstąpienia od przeprowadzenia strategicznej oceny oddziaływania na środowisko dla LSR, przedkładając wraz z wnioskiem projekt LSR. Pismem </w:t>
      </w:r>
      <w:r w:rsidRPr="00E87A5F">
        <w:rPr>
          <w:rFonts w:ascii="Times New Roman" w:eastAsia="Times New Roman" w:hAnsi="Times New Roman" w:cs="Times New Roman"/>
          <w:shd w:val="clear" w:color="auto" w:fill="FFFFFF"/>
          <w:lang w:eastAsia="ar-SA"/>
        </w:rPr>
        <w:t>z dnia 23.12.2015 r. znak WSI.410.658.2015.DK Regionalny Dyrektor Ochrony Środowiska we Wrocławiu uzgodnił odstąpienie od przeprowadzenia procedury strategicznej oceny oddziaływania na środowisko dla tego dokumentu.  Pismem z dnia 07.12.2015 r. znak  ZNS.9011.3.1009.2015.JŁ  Państwowy Wojewódzki Inspektorat Sanitarny również uzgodnił możliwość odstąpienia od przeprowadzenia procedury strategicznej oceny oddziaływania</w:t>
      </w:r>
      <w:r w:rsidRPr="00E87A5F">
        <w:rPr>
          <w:rFonts w:ascii="Times New Roman" w:eastAsia="Times New Roman" w:hAnsi="Times New Roman" w:cs="Times New Roman"/>
          <w:lang w:eastAsia="ar-SA"/>
        </w:rPr>
        <w:t xml:space="preserve"> na środowisko.</w:t>
      </w:r>
    </w:p>
    <w:p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Biorąc pod uwagę ww. opinie, uwarunkowania określone w art. 49 ww. ustawy, a w szczególności fakt, że LSR realizowana w ramach Rozwoju Lokalnego Kierowanego przez Społeczność (RLKS) w okresie programowania 2014-2020 obejmująca tereny gmin: Kamienna Góra, Lubawka, Marciszów, Stare Bogaczowice, Czarny Bór, Mieroszów, Szczawno Zdrój i Boguszów Gorce  stanowi instrument wykorzystania środków unijnych, ze wskazaniem konkretnych LGD Kwiat lnu odstąpiła od przeprowadzenia strategicznej oceny oddziaływania na środowisko dla niniejszego dokumentu LSR.</w:t>
      </w:r>
    </w:p>
    <w:p w:rsidR="005F5E3C" w:rsidRPr="00E87A5F" w:rsidRDefault="005F5E3C" w:rsidP="005F5E3C">
      <w:pPr>
        <w:suppressAutoHyphens/>
        <w:spacing w:line="240" w:lineRule="auto"/>
        <w:jc w:val="both"/>
        <w:rPr>
          <w:rFonts w:ascii="Times New Roman" w:eastAsia="Times New Roman" w:hAnsi="Times New Roman" w:cs="Times New Roman"/>
          <w:lang w:eastAsia="ar-SA"/>
        </w:rPr>
      </w:pPr>
    </w:p>
    <w:p w:rsidR="005F5E3C" w:rsidRPr="00E87A5F" w:rsidRDefault="005F5E3C" w:rsidP="005F5E3C">
      <w:pPr>
        <w:pStyle w:val="Nagwek2"/>
        <w:rPr>
          <w:rFonts w:ascii="Times New Roman" w:eastAsia="Times New Roman" w:hAnsi="Times New Roman" w:cs="Times New Roman"/>
          <w:sz w:val="22"/>
          <w:szCs w:val="22"/>
          <w:lang w:eastAsia="ar-SA"/>
        </w:rPr>
      </w:pPr>
      <w:bookmarkStart w:id="81" w:name="_Toc439184081"/>
      <w:r w:rsidRPr="00E87A5F">
        <w:rPr>
          <w:rFonts w:ascii="Times New Roman" w:eastAsia="Times New Roman" w:hAnsi="Times New Roman" w:cs="Times New Roman"/>
          <w:sz w:val="22"/>
          <w:szCs w:val="22"/>
          <w:lang w:eastAsia="ar-SA"/>
        </w:rPr>
        <w:t>Wykaz wykorzystanej literatury:</w:t>
      </w:r>
      <w:bookmarkEnd w:id="81"/>
    </w:p>
    <w:p w:rsidR="005F5E3C" w:rsidRPr="00E87A5F" w:rsidRDefault="005F5E3C" w:rsidP="005F5E3C">
      <w:pPr>
        <w:rPr>
          <w:rFonts w:ascii="Times New Roman" w:hAnsi="Times New Roman" w:cs="Times New Roman"/>
          <w:lang w:eastAsia="ar-SA"/>
        </w:rPr>
      </w:pP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 xml:space="preserve">Lokalna Strategia Rozwoju Gminy Kamienna Góra na lata 2015-2022 </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Miasta Boguszów-Gorce na lata 2014 – 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Strategia Rozwoju Gminy Marciszów na lata 2011 – 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Mieroszów na lata 2014-2020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Uzdrowiskowej Gminy Miejskiej Szczawno-Zdrój</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Lubawka</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Czarny Bór na lata 2012-2020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Stare Bogaczowice na lata 2012-2020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Rozwoju Województwa Dolnośląskiego 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Zintegrowanych Inwestycji Terytorialnych Aglomeracji Wałbrzyskiej</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ekonomiczne w Polsce w 2014 r., GUS Opracowanie sygnalne, Warszawa dnia 09.06.2015 r.</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Dane z GUS</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Bank danych lokalnych</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Identyfikacja i delimitacja obszarów wzrostu oraz obszarów problemowych, GUS, Wrocław 2012 r.</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Turystyka w 2014 r., GUS, Warszawa 2015r.</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Słownik Geografii Turystycznej Sudetów, tom: 7, 8, 9, 10, Wrocław 2001 r.</w:t>
      </w:r>
    </w:p>
    <w:p w:rsidR="005F5E3C" w:rsidRPr="00E87A5F" w:rsidRDefault="005F5E3C" w:rsidP="005F5E3C">
      <w:pPr>
        <w:pStyle w:val="Akapitzlist"/>
        <w:suppressAutoHyphens w:val="0"/>
        <w:spacing w:after="0" w:line="240" w:lineRule="auto"/>
        <w:contextualSpacing/>
        <w:jc w:val="both"/>
        <w:rPr>
          <w:rFonts w:ascii="Times New Roman" w:hAnsi="Times New Roman" w:cs="Times New Roman"/>
        </w:rPr>
      </w:pPr>
    </w:p>
    <w:p w:rsidR="005F5E3C" w:rsidRPr="00E87A5F" w:rsidRDefault="005F5E3C" w:rsidP="005F5E3C">
      <w:pPr>
        <w:pStyle w:val="Nagwek2"/>
        <w:rPr>
          <w:rFonts w:ascii="Times New Roman" w:hAnsi="Times New Roman" w:cs="Times New Roman"/>
          <w:sz w:val="22"/>
          <w:szCs w:val="22"/>
        </w:rPr>
      </w:pPr>
      <w:bookmarkStart w:id="82" w:name="_Toc439184082"/>
      <w:r w:rsidRPr="00E87A5F">
        <w:rPr>
          <w:rFonts w:ascii="Times New Roman" w:hAnsi="Times New Roman" w:cs="Times New Roman"/>
          <w:sz w:val="22"/>
          <w:szCs w:val="22"/>
        </w:rPr>
        <w:lastRenderedPageBreak/>
        <w:t>Załączniki do LSR</w:t>
      </w:r>
      <w:bookmarkEnd w:id="82"/>
    </w:p>
    <w:p w:rsidR="005F5E3C" w:rsidRPr="00E87A5F" w:rsidRDefault="005F5E3C" w:rsidP="005F5E3C">
      <w:pPr>
        <w:rPr>
          <w:rFonts w:ascii="Times New Roman" w:hAnsi="Times New Roman" w:cs="Times New Roman"/>
        </w:rPr>
      </w:pPr>
    </w:p>
    <w:p w:rsidR="00027708" w:rsidRPr="00E87A5F" w:rsidRDefault="00027708" w:rsidP="00027708">
      <w:pPr>
        <w:pStyle w:val="Nagwek3"/>
        <w:rPr>
          <w:rFonts w:ascii="Times New Roman" w:eastAsia="Times New Roman" w:hAnsi="Times New Roman" w:cs="Times New Roman"/>
        </w:rPr>
      </w:pPr>
      <w:bookmarkStart w:id="83" w:name="_Toc439184083"/>
      <w:r w:rsidRPr="00E87A5F">
        <w:rPr>
          <w:rFonts w:ascii="Times New Roman" w:eastAsia="Times New Roman" w:hAnsi="Times New Roman" w:cs="Times New Roman"/>
        </w:rPr>
        <w:t>Załącznik nr 1 Procedura aktualizacji LSR</w:t>
      </w:r>
      <w:bookmarkEnd w:id="83"/>
      <w:r w:rsidRPr="00E87A5F">
        <w:rPr>
          <w:rFonts w:ascii="Times New Roman" w:eastAsia="Times New Roman" w:hAnsi="Times New Roman" w:cs="Times New Roman"/>
        </w:rPr>
        <w:t xml:space="preserve"> </w:t>
      </w:r>
    </w:p>
    <w:p w:rsidR="00027708" w:rsidRPr="00E87A5F" w:rsidRDefault="00027708" w:rsidP="00027708">
      <w:pPr>
        <w:pStyle w:val="Bezodstpw"/>
        <w:jc w:val="both"/>
        <w:rPr>
          <w:rFonts w:ascii="Times New Roman" w:eastAsia="Times New Roman" w:hAnsi="Times New Roman" w:cs="Times New Roman"/>
        </w:rPr>
      </w:pPr>
    </w:p>
    <w:p w:rsidR="00027708" w:rsidRPr="00E87A5F" w:rsidRDefault="00027708" w:rsidP="00027708">
      <w:pPr>
        <w:pStyle w:val="Bezodstpw"/>
        <w:jc w:val="center"/>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Procedura Aktualizacji Lokalnej Strategii Rozwoju</w:t>
      </w:r>
    </w:p>
    <w:p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§1</w:t>
      </w:r>
      <w:r w:rsidRPr="00E87A5F">
        <w:rPr>
          <w:rFonts w:ascii="Times New Roman" w:eastAsia="Lucida Sans Unicode" w:hAnsi="Times New Roman" w:cs="Times New Roman"/>
          <w:bCs/>
          <w:kern w:val="2"/>
          <w:lang w:eastAsia="ar-SA"/>
        </w:rPr>
        <w:t xml:space="preserve"> Cel procedury</w:t>
      </w:r>
    </w:p>
    <w:p w:rsidR="00027708" w:rsidRPr="00E87A5F" w:rsidRDefault="00027708" w:rsidP="00027708">
      <w:pPr>
        <w:pStyle w:val="Bezodstpw"/>
        <w:jc w:val="both"/>
        <w:rPr>
          <w:rFonts w:ascii="Times New Roman" w:eastAsia="Times New Roman" w:hAnsi="Times New Roman" w:cs="Times New Roman"/>
        </w:rPr>
      </w:pPr>
      <w:r w:rsidRPr="00E87A5F">
        <w:rPr>
          <w:rFonts w:ascii="Times New Roman" w:eastAsia="Lucida Sans Unicode" w:hAnsi="Times New Roman" w:cs="Times New Roman"/>
          <w:bCs/>
          <w:kern w:val="2"/>
        </w:rPr>
        <w:t xml:space="preserve">Celem procedury jest </w:t>
      </w:r>
      <w:r w:rsidRPr="00E87A5F">
        <w:rPr>
          <w:rFonts w:ascii="Times New Roman" w:eastAsia="Lucida Sans Unicode" w:hAnsi="Times New Roman" w:cs="Times New Roman"/>
          <w:kern w:val="2"/>
        </w:rPr>
        <w:t xml:space="preserve">sformalizowanie procesu dokonywanie korekt w Lokalnej Strategii Rozwoju. </w:t>
      </w:r>
      <w:r w:rsidRPr="00E87A5F">
        <w:rPr>
          <w:rFonts w:ascii="Times New Roman" w:eastAsia="Times New Roman" w:hAnsi="Times New Roman" w:cs="Times New Roman"/>
        </w:rPr>
        <w:t>Proces aktualizacji strategii powinien być przyjmowany jako systemowy element zarządzania strategicznego obszarem na którym działa LGD. Strategia powinna być aktualizowana i korygowana pod wpływem istotnych zmian w otoczeniu wewnętrznym i zewnętrznym terenu na którym funkcjonuje LGD.</w:t>
      </w:r>
      <w:r w:rsidRPr="00E87A5F">
        <w:rPr>
          <w:rFonts w:ascii="Times New Roman" w:eastAsia="Lucida Sans Unicode" w:hAnsi="Times New Roman" w:cs="Times New Roman"/>
          <w:kern w:val="2"/>
        </w:rPr>
        <w:t xml:space="preserve"> </w:t>
      </w:r>
      <w:r w:rsidRPr="00E87A5F">
        <w:rPr>
          <w:rFonts w:ascii="Times New Roman" w:eastAsia="Arial Unicode MS" w:hAnsi="Times New Roman" w:cs="Times New Roman"/>
        </w:rPr>
        <w:t>Dokonywania korekty zapisów w Lokalnej Strategii Rozwoju i dokumentach uszczegóławiających strategię, nie powodują zmiany kierunków i celów działalności Stowarzyszenia.</w:t>
      </w:r>
    </w:p>
    <w:p w:rsidR="00027708" w:rsidRPr="00E87A5F" w:rsidRDefault="00027708" w:rsidP="00027708">
      <w:pPr>
        <w:pStyle w:val="Bezodstpw"/>
        <w:jc w:val="center"/>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§2 Zakres procedury</w:t>
      </w:r>
    </w:p>
    <w:p w:rsidR="00027708" w:rsidRPr="00E87A5F" w:rsidRDefault="00027708" w:rsidP="00027708">
      <w:pPr>
        <w:pStyle w:val="Bezodstpw"/>
        <w:jc w:val="both"/>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 xml:space="preserve">Procedura obejmuje czynności działań związanych ze zgłaszaniem, analizowanie i w końcu przyjmowaniem uchwałą Walnego Zebrania zmian w zapisach LSR. </w:t>
      </w:r>
    </w:p>
    <w:p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§3</w:t>
      </w:r>
      <w:r w:rsidRPr="00E87A5F">
        <w:rPr>
          <w:rFonts w:ascii="Times New Roman" w:eastAsia="Lucida Sans Unicode" w:hAnsi="Times New Roman" w:cs="Times New Roman"/>
          <w:bCs/>
          <w:kern w:val="2"/>
          <w:lang w:eastAsia="ar-SA"/>
        </w:rPr>
        <w:t xml:space="preserve"> Założenia ogólne</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1. Proces wdrażania i aktualizacji odbywa się z jak najszerszym udziałem partnerów LGD  i wszystkich mieszkańców obszaru</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2 .Wszystkie działania LGD dotyczące wdrażania LSR są jawne</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3. LGD monitoruje na bieżąco wdrażanie LSR  </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4. Aktualizacja LSR nie powinna być dokonywane częściej niż raz w roku  przez Zarząd Stowarzyszenia</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5. Działania logistyczne zapewnia Biuro LGD </w:t>
      </w:r>
    </w:p>
    <w:p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§4</w:t>
      </w:r>
      <w:r w:rsidRPr="00E87A5F">
        <w:rPr>
          <w:rFonts w:ascii="Times New Roman" w:eastAsia="Lucida Sans Unicode" w:hAnsi="Times New Roman" w:cs="Times New Roman"/>
          <w:bCs/>
          <w:kern w:val="2"/>
          <w:lang w:eastAsia="ar-SA"/>
        </w:rPr>
        <w:t xml:space="preserve"> Przebieg procedury</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Wnioski w sprawie zmian zapisów w LSR mogą zgłaszać:</w:t>
      </w:r>
    </w:p>
    <w:p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 xml:space="preserve">członkowie LGD; </w:t>
      </w:r>
    </w:p>
    <w:p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organy Stowarzyszenia;</w:t>
      </w:r>
    </w:p>
    <w:p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wszyscy mieszkańcy obszaru.</w:t>
      </w:r>
    </w:p>
    <w:p w:rsidR="00027708" w:rsidRPr="00F23BEC"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Zarząd Stowarzyszenia dokonuje potrzebnych analiz do wprowadzania zmian w LSR. Analizy te wykonywane są na bieżąc</w:t>
      </w:r>
      <w:r>
        <w:rPr>
          <w:rFonts w:ascii="Times New Roman" w:eastAsia="Times New Roman" w:hAnsi="Times New Roman" w:cs="Times New Roman"/>
          <w:lang w:eastAsia="ar-SA"/>
        </w:rPr>
        <w:t xml:space="preserve">o w ramach ciągłego monitoringu </w:t>
      </w:r>
      <w:r w:rsidRPr="00F23BEC">
        <w:rPr>
          <w:rFonts w:ascii="Times New Roman" w:eastAsia="Times New Roman" w:hAnsi="Times New Roman" w:cs="Times New Roman"/>
          <w:lang w:eastAsia="ar-SA"/>
        </w:rPr>
        <w:t>oraz ewaluacji wewnętrznej</w:t>
      </w:r>
    </w:p>
    <w:p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zgłaszanych do LGD wniosków;</w:t>
      </w:r>
    </w:p>
    <w:p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otoczenia prawnego związanego z funkcjonowaniem LGD i wdrażaniem LSR;</w:t>
      </w:r>
    </w:p>
    <w:p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uchwał organów Stowarzyszenia wnioskujących o zmiany;</w:t>
      </w:r>
    </w:p>
    <w:p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wniosków zawartych w Raporcie  z ewaluacji.</w:t>
      </w:r>
    </w:p>
    <w:p w:rsidR="00027708" w:rsidRPr="00F23BEC"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Co najmniej raz w roku Zarząd Stowarzyszenia </w:t>
      </w:r>
      <w:r w:rsidRPr="00F23BEC">
        <w:rPr>
          <w:rFonts w:ascii="Times New Roman" w:eastAsia="Times New Roman" w:hAnsi="Times New Roman" w:cs="Times New Roman"/>
          <w:lang w:eastAsia="ar-SA"/>
        </w:rPr>
        <w:t xml:space="preserve">na podstawie przeprowadzonych analiz opracowuje dokument z  rekomendacjami zmian zapisów w LSR. Dokument ten </w:t>
      </w:r>
      <w:r w:rsidRPr="00F23BEC">
        <w:rPr>
          <w:rFonts w:ascii="Times New Roman" w:eastAsia="Calibri" w:hAnsi="Times New Roman" w:cs="Times New Roman"/>
        </w:rPr>
        <w:t xml:space="preserve">zostanie udostępniony do konsultacji mieszkańcom poprzez umieszczenie na stronie </w:t>
      </w:r>
      <w:hyperlink r:id="rId29" w:history="1">
        <w:r w:rsidRPr="00F23BEC">
          <w:rPr>
            <w:rStyle w:val="Hipercze"/>
            <w:rFonts w:ascii="Times New Roman" w:eastAsia="Calibri" w:hAnsi="Times New Roman" w:cs="Times New Roman"/>
            <w:color w:val="auto"/>
          </w:rPr>
          <w:t>www.kwiatlnu.eu</w:t>
        </w:r>
      </w:hyperlink>
      <w:r w:rsidRPr="00F23BEC">
        <w:rPr>
          <w:rFonts w:ascii="Times New Roman" w:eastAsia="Calibri" w:hAnsi="Times New Roman" w:cs="Times New Roman"/>
        </w:rPr>
        <w:t xml:space="preserve">, rozesłany do konsultacji partnerom LGD oraz zostanie wystosowane zaproszenie do mieszkańców obszaru LGD do składania uwag w biurze LGD w określonym terminie. </w:t>
      </w:r>
    </w:p>
    <w:p w:rsidR="00027708" w:rsidRPr="00F23BEC" w:rsidRDefault="00027708" w:rsidP="00027708">
      <w:pPr>
        <w:pStyle w:val="Bezodstpw"/>
        <w:jc w:val="both"/>
        <w:rPr>
          <w:rFonts w:ascii="Times New Roman" w:eastAsia="Times New Roman" w:hAnsi="Times New Roman" w:cs="Times New Roman"/>
          <w:lang w:eastAsia="ar-SA"/>
        </w:rPr>
      </w:pPr>
      <w:r w:rsidRPr="00F23BEC">
        <w:rPr>
          <w:rFonts w:ascii="Times New Roman" w:eastAsia="Calibri" w:hAnsi="Times New Roman" w:cs="Times New Roman"/>
        </w:rPr>
        <w:t>Po zakończonych konsultacjach organy LGD (Zarząd, Rada) przygotują propozycje zmiany LSR na Walne Zebranie Członków.</w:t>
      </w:r>
    </w:p>
    <w:p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Zarząd przygotowuje projekty uchwał dotyczące zmian w zapisach LSR  Walnemu Zebraniu Członków Stowarzyszenia.</w:t>
      </w:r>
    </w:p>
    <w:p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Aktualizacja Lokalnej Strategii Rozwoju dokonywana jest co roku uchwałą Walnego Zebrania. </w:t>
      </w:r>
    </w:p>
    <w:p w:rsidR="005F5E3C" w:rsidRPr="00E87A5F" w:rsidRDefault="005F5E3C" w:rsidP="005F5E3C">
      <w:pPr>
        <w:pStyle w:val="Bezodstpw"/>
        <w:jc w:val="both"/>
        <w:rPr>
          <w:rFonts w:ascii="Times New Roman" w:eastAsia="Times New Roman" w:hAnsi="Times New Roman" w:cs="Times New Roman"/>
          <w:lang w:eastAsia="ar-SA"/>
        </w:rPr>
      </w:pPr>
    </w:p>
    <w:p w:rsidR="005F5E3C" w:rsidRPr="00E87A5F" w:rsidRDefault="005F5E3C" w:rsidP="005F5E3C">
      <w:pPr>
        <w:pStyle w:val="Nagwek3"/>
        <w:rPr>
          <w:rFonts w:ascii="Times New Roman" w:hAnsi="Times New Roman" w:cs="Times New Roman"/>
        </w:rPr>
      </w:pPr>
      <w:bookmarkStart w:id="84" w:name="_Toc439184084"/>
      <w:r w:rsidRPr="00E87A5F">
        <w:rPr>
          <w:rFonts w:ascii="Times New Roman" w:hAnsi="Times New Roman" w:cs="Times New Roman"/>
        </w:rPr>
        <w:t>Załącznik nr 2 Procedury dokonywania ewaluacji i monitoringu</w:t>
      </w:r>
      <w:bookmarkEnd w:id="84"/>
    </w:p>
    <w:p w:rsidR="005F5E3C" w:rsidRPr="00E87A5F" w:rsidRDefault="005F5E3C" w:rsidP="005F5E3C">
      <w:pPr>
        <w:rPr>
          <w:rFonts w:ascii="Times New Roman" w:hAnsi="Times New Roman" w:cs="Times New Roman"/>
        </w:rPr>
      </w:pPr>
    </w:p>
    <w:p w:rsidR="00AC5735" w:rsidRPr="00AC5735" w:rsidRDefault="00AC5735" w:rsidP="00AC5735">
      <w:pPr>
        <w:spacing w:after="0" w:line="240" w:lineRule="auto"/>
        <w:ind w:firstLine="708"/>
        <w:jc w:val="both"/>
        <w:rPr>
          <w:rFonts w:ascii="Times New Roman" w:hAnsi="Times New Roman" w:cs="Times New Roman"/>
        </w:rPr>
      </w:pPr>
      <w:r w:rsidRPr="00AC5735">
        <w:rPr>
          <w:rFonts w:ascii="Times New Roman" w:hAnsi="Times New Roman" w:cs="Times New Roman"/>
        </w:rPr>
        <w:t xml:space="preserve">Prowadzenie monitoringu i ewaluacji realizacji LSR w całym okresie jej wdrażania jest procesem koniecznym dla sprawdzenia czy udaje się skutecznie osiągać cele zapisane w strategii. Będzie prowadzone zgodnie z wytycznymi nr 5/3/2017. Wyniki procesów zaplanowanych w ramach monitoringu mogą skutkować koniecznością ewaluacji LSR. Ewaluacja ta może zmierzać w kierunku aktualizacji, lub zmiany planowanych w LSR działań i efektów. W Lokalnej Grupie Działania Kwiat Lnu ewaluacja LSR będzie podzielona na ewaluację wewnętrzną, prowadzoną w całym okresie programowania ( 2016 – 2023 ) oraz ewaluację zewnętrzną po roku 2020 przeprowadzoną przez zewnętrznego </w:t>
      </w:r>
      <w:proofErr w:type="spellStart"/>
      <w:r w:rsidRPr="00AC5735">
        <w:rPr>
          <w:rFonts w:ascii="Times New Roman" w:hAnsi="Times New Roman" w:cs="Times New Roman"/>
        </w:rPr>
        <w:t>ewaluatora</w:t>
      </w:r>
      <w:proofErr w:type="spellEnd"/>
      <w:r w:rsidRPr="00AC5735">
        <w:rPr>
          <w:rFonts w:ascii="Times New Roman" w:hAnsi="Times New Roman" w:cs="Times New Roman"/>
        </w:rPr>
        <w:t>.</w:t>
      </w:r>
    </w:p>
    <w:p w:rsidR="00AC5735" w:rsidRPr="00E87A5F" w:rsidRDefault="00AC5735" w:rsidP="00AC5735">
      <w:pPr>
        <w:spacing w:after="0" w:line="240" w:lineRule="auto"/>
        <w:jc w:val="both"/>
        <w:rPr>
          <w:rFonts w:ascii="Times New Roman" w:hAnsi="Times New Roman" w:cs="Times New Roman"/>
        </w:rPr>
      </w:pPr>
      <w:r w:rsidRPr="00AC5735">
        <w:rPr>
          <w:rFonts w:ascii="Times New Roman" w:hAnsi="Times New Roman" w:cs="Times New Roman"/>
        </w:rPr>
        <w:t>W celu obserwowania efektów oddziaływania zrealizowanych operacji. LGD dokonywać będzie systematycznej i obiektywnej oceny LSR, jej założeń, przebiegu wdrażania, osiągniętych rezultatów z punktu widzenia adekwatności, skuteczności, efektywności, oddziaływania</w:t>
      </w:r>
      <w:r w:rsidRPr="00E87A5F">
        <w:rPr>
          <w:rFonts w:ascii="Times New Roman" w:hAnsi="Times New Roman" w:cs="Times New Roman"/>
        </w:rPr>
        <w:t xml:space="preserve"> i trwałości podejmowanych działań. Ewaluacja LSR dostarczać będzie </w:t>
      </w:r>
      <w:r w:rsidRPr="00E87A5F">
        <w:rPr>
          <w:rFonts w:ascii="Times New Roman" w:hAnsi="Times New Roman" w:cs="Times New Roman"/>
        </w:rPr>
        <w:lastRenderedPageBreak/>
        <w:t xml:space="preserve">rzetelnych i użytecznych informacji, które będą następnie wykorzystane w procesie decyzyjnym oraz we współpracy partnerów zaangażowanych we wdrażanie strategii. </w:t>
      </w:r>
    </w:p>
    <w:p w:rsidR="00AC5735" w:rsidRPr="00E87A5F" w:rsidRDefault="00AC5735" w:rsidP="00AC5735">
      <w:pPr>
        <w:spacing w:after="0" w:line="240" w:lineRule="auto"/>
        <w:jc w:val="both"/>
        <w:rPr>
          <w:rFonts w:ascii="Times New Roman" w:hAnsi="Times New Roman" w:cs="Times New Roman"/>
        </w:rPr>
      </w:pPr>
      <w:r w:rsidRPr="00E87A5F">
        <w:rPr>
          <w:rFonts w:ascii="Times New Roman" w:hAnsi="Times New Roman" w:cs="Times New Roman"/>
        </w:rPr>
        <w:t>Zaznaczyć należy, że realizacja badań ewaluacyjnych odbywać się będzie z zastosowaniem podstawowych kryteriów ewaluacji, którymi są:</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Trafność</w:t>
      </w:r>
      <w:r w:rsidRPr="00E87A5F">
        <w:rPr>
          <w:rFonts w:ascii="Times New Roman" w:hAnsi="Times New Roman" w:cs="Times New Roman"/>
        </w:rPr>
        <w:t xml:space="preserve"> - </w:t>
      </w:r>
      <w:r w:rsidRPr="00E87A5F">
        <w:rPr>
          <w:rFonts w:ascii="Times New Roman" w:eastAsia="Times New Roman" w:hAnsi="Times New Roman" w:cs="Times New Roman"/>
        </w:rPr>
        <w:t>stopień, w jakim przyjęte cele</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projektu odpowiadają zidentyfikowanym problemom w obszarze objętym projektem i/lub realnym potrzebom</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beneficjentów.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Efektywność</w:t>
      </w:r>
      <w:r w:rsidRPr="00E87A5F">
        <w:rPr>
          <w:rFonts w:ascii="Times New Roman" w:hAnsi="Times New Roman" w:cs="Times New Roman"/>
        </w:rPr>
        <w:t xml:space="preserve"> - </w:t>
      </w:r>
      <w:r w:rsidRPr="00E87A5F">
        <w:rPr>
          <w:rFonts w:ascii="Times New Roman" w:eastAsia="Times New Roman" w:hAnsi="Times New Roman" w:cs="Times New Roman"/>
        </w:rPr>
        <w:t>ocena poziomu „ekonomiczności” projektu, czyli</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stosunek poniesionych nakładów do uzyskanych wyników i rezultatów, przy</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czym przez nakłady rozumie się zasoby finansowe, ludzkie i poświęcony</w:t>
      </w:r>
      <w:r w:rsidRPr="00E87A5F">
        <w:rPr>
          <w:rFonts w:ascii="Times New Roman" w:eastAsia="Times New Roman" w:hAnsi="Times New Roman" w:cs="Times New Roman"/>
          <w:spacing w:val="-15"/>
        </w:rPr>
        <w:t xml:space="preserve"> </w:t>
      </w:r>
      <w:r w:rsidRPr="00E87A5F">
        <w:rPr>
          <w:rFonts w:ascii="Times New Roman" w:eastAsia="Times New Roman" w:hAnsi="Times New Roman" w:cs="Times New Roman"/>
        </w:rPr>
        <w:t>czas.</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Skuteczność</w:t>
      </w:r>
      <w:r w:rsidRPr="00E87A5F">
        <w:rPr>
          <w:rFonts w:ascii="Times New Roman" w:hAnsi="Times New Roman" w:cs="Times New Roman"/>
        </w:rPr>
        <w:t xml:space="preserve"> - </w:t>
      </w:r>
      <w:r w:rsidRPr="00E87A5F">
        <w:rPr>
          <w:rFonts w:ascii="Times New Roman" w:eastAsia="Times New Roman" w:hAnsi="Times New Roman" w:cs="Times New Roman"/>
        </w:rPr>
        <w:t>ocena stopnia, na ile cele przedsięwzięcia, zdefiniowane na</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etapie programowania, zostały</w:t>
      </w:r>
      <w:r w:rsidRPr="00E87A5F">
        <w:rPr>
          <w:rFonts w:ascii="Times New Roman" w:eastAsia="Times New Roman" w:hAnsi="Times New Roman" w:cs="Times New Roman"/>
          <w:spacing w:val="-4"/>
        </w:rPr>
        <w:t xml:space="preserve"> </w:t>
      </w:r>
      <w:r w:rsidRPr="00E87A5F">
        <w:rPr>
          <w:rFonts w:ascii="Times New Roman" w:eastAsia="Times New Roman" w:hAnsi="Times New Roman" w:cs="Times New Roman"/>
        </w:rPr>
        <w:t>osiągnięte.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Użyteczność</w:t>
      </w:r>
      <w:r w:rsidRPr="00E87A5F">
        <w:rPr>
          <w:rFonts w:ascii="Times New Roman" w:hAnsi="Times New Roman" w:cs="Times New Roman"/>
        </w:rPr>
        <w:t xml:space="preserve"> - </w:t>
      </w:r>
      <w:r w:rsidRPr="00E87A5F">
        <w:rPr>
          <w:rFonts w:ascii="Times New Roman" w:eastAsia="Times New Roman" w:hAnsi="Times New Roman" w:cs="Times New Roman"/>
        </w:rPr>
        <w:t>stopień zaspokojenia potrzeb beneficjentów w wyniku</w:t>
      </w:r>
      <w:r w:rsidRPr="00E87A5F">
        <w:rPr>
          <w:rFonts w:ascii="Times New Roman" w:eastAsia="Times New Roman" w:hAnsi="Times New Roman" w:cs="Times New Roman"/>
          <w:spacing w:val="41"/>
        </w:rPr>
        <w:t xml:space="preserve"> </w:t>
      </w:r>
      <w:r w:rsidRPr="00E87A5F">
        <w:rPr>
          <w:rFonts w:ascii="Times New Roman" w:eastAsia="Times New Roman" w:hAnsi="Times New Roman" w:cs="Times New Roman"/>
        </w:rPr>
        <w:t>osiągnięcia rezultatów podejmowanych</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operacji.</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Trwałość</w:t>
      </w:r>
      <w:r w:rsidRPr="00E87A5F">
        <w:rPr>
          <w:rFonts w:ascii="Times New Roman" w:hAnsi="Times New Roman" w:cs="Times New Roman"/>
        </w:rPr>
        <w:t xml:space="preserve"> - </w:t>
      </w:r>
      <w:r w:rsidRPr="00E87A5F">
        <w:rPr>
          <w:rFonts w:ascii="Times New Roman" w:eastAsia="Times New Roman" w:hAnsi="Times New Roman" w:cs="Times New Roman"/>
        </w:rPr>
        <w:t>ocena faktu, czy pozytywne efekty projektu na poziomie celu mogą</w:t>
      </w:r>
      <w:r w:rsidRPr="00E87A5F">
        <w:rPr>
          <w:rFonts w:ascii="Times New Roman" w:eastAsia="Times New Roman" w:hAnsi="Times New Roman" w:cs="Times New Roman"/>
          <w:spacing w:val="7"/>
        </w:rPr>
        <w:t xml:space="preserve"> </w:t>
      </w:r>
      <w:r w:rsidRPr="00E87A5F">
        <w:rPr>
          <w:rFonts w:ascii="Times New Roman" w:eastAsia="Times New Roman" w:hAnsi="Times New Roman" w:cs="Times New Roman"/>
        </w:rPr>
        <w:t>trwać do zakończenia finansowania zewnętrznego oraz czy możliwe jest utrzymanie</w:t>
      </w:r>
      <w:r w:rsidRPr="00E87A5F">
        <w:rPr>
          <w:rFonts w:ascii="Times New Roman" w:eastAsia="Times New Roman" w:hAnsi="Times New Roman" w:cs="Times New Roman"/>
          <w:spacing w:val="18"/>
        </w:rPr>
        <w:t xml:space="preserve"> </w:t>
      </w:r>
      <w:r w:rsidRPr="00E87A5F">
        <w:rPr>
          <w:rFonts w:ascii="Times New Roman" w:eastAsia="Times New Roman" w:hAnsi="Times New Roman" w:cs="Times New Roman"/>
        </w:rPr>
        <w:t>się wpływu</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tego</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projektu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w</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dłuższym</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okresie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procesy</w:t>
      </w:r>
      <w:r w:rsidRPr="00E87A5F">
        <w:rPr>
          <w:rFonts w:ascii="Times New Roman" w:eastAsia="Times New Roman" w:hAnsi="Times New Roman" w:cs="Times New Roman"/>
          <w:spacing w:val="19"/>
        </w:rPr>
        <w:t xml:space="preserve"> </w:t>
      </w:r>
      <w:r w:rsidRPr="00E87A5F">
        <w:rPr>
          <w:rFonts w:ascii="Times New Roman" w:eastAsia="Times New Roman" w:hAnsi="Times New Roman" w:cs="Times New Roman"/>
        </w:rPr>
        <w:t>rozwoju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poziomie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sektora, regionu czy</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kraju.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Etapy realizacji badań ewaluacyjnych zostały wyróżnione ze względu na moment, w którym badanie będzie prowadzone. W związku z tym, zarówno w odniesieniu do funkcjonowania Stowarzyszenia, jak i wdrażania LSR wyróżniono etap ewaluacji ex </w:t>
      </w:r>
      <w:proofErr w:type="spellStart"/>
      <w:r w:rsidRPr="00E87A5F">
        <w:rPr>
          <w:rFonts w:ascii="Times New Roman" w:hAnsi="Times New Roman" w:cs="Times New Roman"/>
        </w:rPr>
        <w:t>ante</w:t>
      </w:r>
      <w:proofErr w:type="spellEnd"/>
      <w:r w:rsidRPr="00E87A5F">
        <w:rPr>
          <w:rFonts w:ascii="Times New Roman" w:hAnsi="Times New Roman" w:cs="Times New Roman"/>
        </w:rPr>
        <w:t xml:space="preserve">, on </w:t>
      </w:r>
      <w:proofErr w:type="spellStart"/>
      <w:r w:rsidRPr="00E87A5F">
        <w:rPr>
          <w:rFonts w:ascii="Times New Roman" w:hAnsi="Times New Roman" w:cs="Times New Roman"/>
        </w:rPr>
        <w:t>going</w:t>
      </w:r>
      <w:proofErr w:type="spellEnd"/>
      <w:r w:rsidRPr="00E87A5F">
        <w:rPr>
          <w:rFonts w:ascii="Times New Roman" w:hAnsi="Times New Roman" w:cs="Times New Roman"/>
        </w:rPr>
        <w:t xml:space="preserve"> oraz ex post.</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Nagwek3"/>
        <w:jc w:val="both"/>
        <w:rPr>
          <w:rFonts w:ascii="Times New Roman" w:hAnsi="Times New Roman" w:cs="Times New Roman"/>
        </w:rPr>
        <w:sectPr w:rsidR="005F5E3C" w:rsidRPr="00E87A5F" w:rsidSect="005B0671">
          <w:pgSz w:w="11906" w:h="16838"/>
          <w:pgMar w:top="567" w:right="567" w:bottom="567" w:left="851" w:header="709" w:footer="709" w:gutter="0"/>
          <w:cols w:space="708"/>
          <w:docGrid w:linePitch="360"/>
        </w:sectPr>
      </w:pPr>
    </w:p>
    <w:p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22</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monitoringowi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28"/>
        <w:gridCol w:w="2828"/>
        <w:gridCol w:w="2828"/>
        <w:gridCol w:w="2829"/>
        <w:gridCol w:w="2829"/>
      </w:tblGrid>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829"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829"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p>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Budżet LGD</w:t>
            </w:r>
          </w:p>
          <w:p w:rsidR="005F5E3C" w:rsidRPr="00E87A5F" w:rsidRDefault="005F5E3C" w:rsidP="00067FD0">
            <w:pPr>
              <w:jc w:val="center"/>
              <w:rPr>
                <w:rFonts w:ascii="Times New Roman" w:hAnsi="Times New Roman" w:cs="Times New Roman"/>
                <w:b/>
                <w:bCs/>
                <w:i/>
              </w:rPr>
            </w:pPr>
          </w:p>
        </w:tc>
        <w:tc>
          <w:tcPr>
            <w:tcW w:w="2828" w:type="dxa"/>
            <w:shd w:val="clear" w:color="auto" w:fill="auto"/>
            <w:vAlign w:val="center"/>
          </w:tcPr>
          <w:p w:rsidR="005F5E3C" w:rsidRPr="00E87A5F" w:rsidRDefault="005F5E3C" w:rsidP="00067FD0">
            <w:pPr>
              <w:rPr>
                <w:rFonts w:ascii="Times New Roman" w:hAnsi="Times New Roman" w:cs="Times New Roman"/>
                <w:b/>
                <w:bCs/>
                <w:i/>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shd w:val="clear" w:color="auto" w:fill="auto"/>
            <w:vAlign w:val="center"/>
          </w:tcPr>
          <w:p w:rsidR="005F5E3C" w:rsidRPr="00E87A5F" w:rsidRDefault="005F5E3C" w:rsidP="00067FD0">
            <w:pPr>
              <w:rPr>
                <w:rFonts w:ascii="Times New Roman" w:hAnsi="Times New Roman" w:cs="Times New Roman"/>
                <w:b/>
                <w:bCs/>
                <w:i/>
              </w:rPr>
            </w:pPr>
            <w:r w:rsidRPr="00E87A5F">
              <w:rPr>
                <w:rFonts w:ascii="Times New Roman" w:hAnsi="Times New Roman" w:cs="Times New Roman"/>
              </w:rPr>
              <w:t>Rejestr danych</w:t>
            </w:r>
          </w:p>
        </w:tc>
        <w:tc>
          <w:tcPr>
            <w:tcW w:w="2829" w:type="dxa"/>
            <w:shd w:val="clear" w:color="auto" w:fill="auto"/>
            <w:vAlign w:val="center"/>
          </w:tcPr>
          <w:p w:rsidR="005F5E3C" w:rsidRPr="00E87A5F" w:rsidRDefault="005F5E3C" w:rsidP="00067FD0">
            <w:pPr>
              <w:rPr>
                <w:rFonts w:ascii="Times New Roman" w:hAnsi="Times New Roman" w:cs="Times New Roman"/>
                <w:b/>
                <w:bCs/>
                <w:i/>
              </w:rPr>
            </w:pPr>
            <w:r w:rsidRPr="00E87A5F">
              <w:rPr>
                <w:rFonts w:ascii="Times New Roman" w:hAnsi="Times New Roman" w:cs="Times New Roman"/>
              </w:rPr>
              <w:t>Na bieżąco</w:t>
            </w:r>
          </w:p>
        </w:tc>
        <w:tc>
          <w:tcPr>
            <w:tcW w:w="2829" w:type="dxa"/>
            <w:shd w:val="clear" w:color="auto" w:fill="auto"/>
            <w:vAlign w:val="center"/>
          </w:tcPr>
          <w:p w:rsidR="005F5E3C" w:rsidRPr="00E87A5F" w:rsidRDefault="005F5E3C" w:rsidP="00067FD0">
            <w:pPr>
              <w:rPr>
                <w:rFonts w:ascii="Times New Roman" w:hAnsi="Times New Roman" w:cs="Times New Roman"/>
              </w:rPr>
            </w:pPr>
            <w:r w:rsidRPr="00E87A5F">
              <w:rPr>
                <w:rFonts w:ascii="Times New Roman" w:hAnsi="Times New Roman" w:cs="Times New Roman"/>
              </w:rPr>
              <w:t>Stopień wykorzystania środków finansowych w odniesieniu do</w:t>
            </w:r>
            <w:r w:rsidRPr="00E87A5F">
              <w:rPr>
                <w:rFonts w:ascii="Times New Roman" w:hAnsi="Times New Roman" w:cs="Times New Roman"/>
              </w:rPr>
              <w:br/>
              <w:t>środków zakontraktowanych</w:t>
            </w: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Wskaźniki realizacji LSR</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bCs/>
              </w:rPr>
              <w:t>Sprawozdania beneficjentów,  ankiety beneficjentów,  rejestr danych LGD</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Stopień realizacji wskaźnika</w:t>
            </w: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Harmonogram ogłaszanych</w:t>
            </w:r>
            <w:r w:rsidRPr="00E87A5F">
              <w:rPr>
                <w:rFonts w:ascii="Times New Roman" w:hAnsi="Times New Roman" w:cs="Times New Roman"/>
                <w:b/>
                <w:bCs/>
                <w:i/>
              </w:rPr>
              <w:br/>
              <w:t>konkursów</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Rejestr ogłaszanych konkursów</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Zgodność ogłaszania konkursów z harmonogramem konkursów</w:t>
            </w:r>
            <w:r w:rsidRPr="00E87A5F">
              <w:rPr>
                <w:rFonts w:ascii="Times New Roman" w:hAnsi="Times New Roman" w:cs="Times New Roman"/>
              </w:rPr>
              <w:br/>
              <w:t>LSR, ocena stopnia realizacji zadań wdrażanych w ramach LSR</w:t>
            </w:r>
          </w:p>
          <w:p w:rsidR="005F5E3C" w:rsidRPr="00E87A5F" w:rsidRDefault="005F5E3C" w:rsidP="00067FD0">
            <w:pPr>
              <w:rPr>
                <w:rFonts w:ascii="Times New Roman" w:hAnsi="Times New Roman" w:cs="Times New Roman"/>
              </w:rPr>
            </w:pP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Zainteresowanie stroną</w:t>
            </w:r>
            <w:r w:rsidRPr="00E87A5F">
              <w:rPr>
                <w:rFonts w:ascii="Times New Roman" w:hAnsi="Times New Roman" w:cs="Times New Roman"/>
                <w:b/>
                <w:bCs/>
                <w:i/>
              </w:rPr>
              <w:br/>
              <w:t>internetową LGD</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Pracownicy</w:t>
            </w:r>
            <w:r w:rsidRPr="00E87A5F">
              <w:rPr>
                <w:rFonts w:ascii="Times New Roman" w:hAnsi="Times New Roman" w:cs="Times New Roman"/>
              </w:rPr>
              <w:br/>
              <w:t>LGD (ocena</w:t>
            </w:r>
            <w:r w:rsidRPr="00E87A5F">
              <w:rPr>
                <w:rFonts w:ascii="Times New Roman" w:hAnsi="Times New Roman" w:cs="Times New Roman"/>
              </w:rPr>
              <w:br/>
              <w:t>własna)</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Licznik odwiedzin strony</w:t>
            </w:r>
            <w:r w:rsidRPr="00E87A5F">
              <w:rPr>
                <w:rFonts w:ascii="Times New Roman" w:hAnsi="Times New Roman" w:cs="Times New Roman"/>
              </w:rPr>
              <w:br/>
              <w:t>internetowej, dane od administratora</w:t>
            </w:r>
            <w:r w:rsidRPr="00E87A5F">
              <w:rPr>
                <w:rFonts w:ascii="Times New Roman" w:hAnsi="Times New Roman" w:cs="Times New Roman"/>
              </w:rPr>
              <w:br/>
              <w:t>strony internetowej</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Skuteczność przekazywania/ uzyskiwania informacji na temat</w:t>
            </w:r>
            <w:r w:rsidRPr="00E87A5F">
              <w:rPr>
                <w:rFonts w:ascii="Times New Roman" w:hAnsi="Times New Roman" w:cs="Times New Roman"/>
              </w:rPr>
              <w:br/>
              <w:t>działalności LGD</w:t>
            </w:r>
          </w:p>
          <w:p w:rsidR="005F5E3C" w:rsidRPr="00E87A5F" w:rsidRDefault="005F5E3C" w:rsidP="00067FD0">
            <w:pPr>
              <w:rPr>
                <w:rFonts w:ascii="Times New Roman" w:hAnsi="Times New Roman" w:cs="Times New Roman"/>
              </w:rPr>
            </w:pP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Pracownicy Biura LGD,</w:t>
            </w:r>
            <w:r w:rsidRPr="00E87A5F">
              <w:rPr>
                <w:rFonts w:ascii="Times New Roman" w:hAnsi="Times New Roman" w:cs="Times New Roman"/>
                <w:b/>
                <w:bCs/>
                <w:i/>
              </w:rPr>
              <w:br/>
              <w:t>funkcjonowanie Biura</w:t>
            </w:r>
            <w:r w:rsidRPr="00E87A5F">
              <w:rPr>
                <w:rFonts w:ascii="Times New Roman" w:hAnsi="Times New Roman" w:cs="Times New Roman"/>
                <w:b/>
                <w:bCs/>
                <w:i/>
              </w:rPr>
              <w:br/>
              <w:t>Zarządu</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Zarząd LGD</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Anonimowe ankiety</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Ocena pracy pracowników, sposób przekazywania istotnych</w:t>
            </w:r>
            <w:r w:rsidRPr="00E87A5F">
              <w:rPr>
                <w:rFonts w:ascii="Times New Roman" w:hAnsi="Times New Roman" w:cs="Times New Roman"/>
              </w:rPr>
              <w:br/>
              <w:t>informacji potencjalnym beneficjentom, pomoc w rozwiązywaniu</w:t>
            </w:r>
            <w:r w:rsidRPr="00E87A5F">
              <w:rPr>
                <w:rFonts w:ascii="Times New Roman" w:hAnsi="Times New Roman" w:cs="Times New Roman"/>
              </w:rPr>
              <w:br/>
              <w:t>problemów, efektywność świadczonego doradztwa</w:t>
            </w:r>
          </w:p>
          <w:p w:rsidR="005F5E3C" w:rsidRPr="00E87A5F" w:rsidRDefault="005F5E3C" w:rsidP="00067FD0">
            <w:pPr>
              <w:rPr>
                <w:rFonts w:ascii="Times New Roman" w:hAnsi="Times New Roman" w:cs="Times New Roman"/>
              </w:rPr>
            </w:pPr>
          </w:p>
        </w:tc>
      </w:tr>
    </w:tbl>
    <w:p w:rsidR="005F5E3C" w:rsidRPr="00E87A5F" w:rsidRDefault="005F5E3C" w:rsidP="005F5E3C">
      <w:pPr>
        <w:rPr>
          <w:rFonts w:ascii="Times New Roman" w:hAnsi="Times New Roman" w:cs="Times New Roman"/>
        </w:rPr>
      </w:pPr>
    </w:p>
    <w:p w:rsidR="004F7D1A" w:rsidRDefault="004F7D1A" w:rsidP="005F5E3C">
      <w:pPr>
        <w:pStyle w:val="Legenda"/>
        <w:keepNext/>
        <w:jc w:val="left"/>
        <w:rPr>
          <w:rFonts w:ascii="Times New Roman" w:hAnsi="Times New Roman"/>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23</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ewaluacji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384"/>
        <w:gridCol w:w="3330"/>
        <w:gridCol w:w="1915"/>
        <w:gridCol w:w="2799"/>
        <w:gridCol w:w="2357"/>
        <w:gridCol w:w="2357"/>
      </w:tblGrid>
      <w:tr w:rsidR="005F5E3C" w:rsidRPr="00E87A5F" w:rsidTr="00067FD0">
        <w:tc>
          <w:tcPr>
            <w:tcW w:w="1384"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Etap</w:t>
            </w:r>
          </w:p>
        </w:tc>
        <w:tc>
          <w:tcPr>
            <w:tcW w:w="3330"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1915"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799"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357"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357"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rsidTr="00067FD0">
        <w:tc>
          <w:tcPr>
            <w:tcW w:w="1384"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 xml:space="preserve">Ewaluacja ex - </w:t>
            </w:r>
            <w:proofErr w:type="spellStart"/>
            <w:r w:rsidRPr="00E87A5F">
              <w:rPr>
                <w:rFonts w:ascii="Times New Roman" w:hAnsi="Times New Roman" w:cs="Times New Roman"/>
                <w:b/>
                <w:bCs/>
                <w:i/>
              </w:rPr>
              <w:t>ante</w:t>
            </w:r>
            <w:proofErr w:type="spellEnd"/>
          </w:p>
        </w:tc>
        <w:tc>
          <w:tcPr>
            <w:tcW w:w="3330"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Lokalna Strategia Rozwoju 2014-2020 (cele, wskaźniki, logika interwencji, spójność i komplementarność dokumentu, sposób wyboru operacji i ustanawiania kryteriów wyboru, plan działania, budżet, plan komunikacji, zintegrowanie Strategii, kompletność dokumentu)</w:t>
            </w:r>
          </w:p>
        </w:tc>
        <w:tc>
          <w:tcPr>
            <w:tcW w:w="191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Pracownicy biura (ocena własna)</w:t>
            </w:r>
            <w:r w:rsidRPr="00E87A5F">
              <w:rPr>
                <w:rFonts w:ascii="Times New Roman" w:hAnsi="Times New Roman" w:cs="Times New Roman"/>
              </w:rPr>
              <w:br/>
            </w:r>
            <w:r w:rsidRPr="00E87A5F">
              <w:rPr>
                <w:rFonts w:ascii="Times New Roman" w:hAnsi="Times New Roman" w:cs="Times New Roman"/>
              </w:rPr>
              <w:br/>
              <w:t>Zarząd (ocena własna)</w:t>
            </w:r>
          </w:p>
        </w:tc>
        <w:tc>
          <w:tcPr>
            <w:tcW w:w="279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Analiza dokumentów zastanych wg. kryteriów ewaluacji (trafność, efektywność, skuteczność, użyteczność, trwałość)</w:t>
            </w:r>
            <w:r w:rsidRPr="00E87A5F">
              <w:rPr>
                <w:rFonts w:ascii="Times New Roman" w:hAnsi="Times New Roman" w:cs="Times New Roman"/>
              </w:rPr>
              <w:br/>
            </w:r>
            <w:r w:rsidRPr="00E87A5F">
              <w:rPr>
                <w:rFonts w:ascii="Times New Roman" w:hAnsi="Times New Roman" w:cs="Times New Roman"/>
              </w:rPr>
              <w:br/>
              <w:t xml:space="preserve">Opinia pracowników biura </w:t>
            </w:r>
            <w:r w:rsidRPr="00E87A5F">
              <w:rPr>
                <w:rFonts w:ascii="Times New Roman" w:hAnsi="Times New Roman" w:cs="Times New Roman"/>
              </w:rPr>
              <w:br/>
            </w:r>
            <w:r w:rsidRPr="00E87A5F">
              <w:rPr>
                <w:rFonts w:ascii="Times New Roman" w:hAnsi="Times New Roman" w:cs="Times New Roman"/>
              </w:rPr>
              <w:br/>
              <w:t>Opinia ekspercka zarządu</w:t>
            </w:r>
            <w:r w:rsidRPr="00E87A5F">
              <w:rPr>
                <w:rFonts w:ascii="Times New Roman" w:hAnsi="Times New Roman" w:cs="Times New Roman"/>
              </w:rPr>
              <w:br/>
            </w:r>
            <w:r w:rsidRPr="00E87A5F">
              <w:rPr>
                <w:rFonts w:ascii="Times New Roman" w:hAnsi="Times New Roman" w:cs="Times New Roman"/>
              </w:rPr>
              <w:br/>
              <w:t>Opinia Komisji Rewizyjnej</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Czas pomiaru: grudzień 2015 (przed złożeniem LSR do SW)</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Logiczna spójność dokumentu (celów, diagnozy, analizy SWOT)</w:t>
            </w:r>
            <w:r w:rsidRPr="00E87A5F">
              <w:rPr>
                <w:rFonts w:ascii="Times New Roman" w:hAnsi="Times New Roman" w:cs="Times New Roman"/>
              </w:rPr>
              <w:br/>
              <w:t>- cele i wskaźniki zgodne z  kryteriami SMART</w:t>
            </w:r>
            <w:r w:rsidRPr="00E87A5F">
              <w:rPr>
                <w:rFonts w:ascii="Times New Roman" w:hAnsi="Times New Roman" w:cs="Times New Roman"/>
              </w:rPr>
              <w:br/>
              <w:t xml:space="preserve">- oszacowane wartości początkowe wskaźników </w:t>
            </w:r>
            <w:r w:rsidRPr="00E87A5F">
              <w:rPr>
                <w:rFonts w:ascii="Times New Roman" w:hAnsi="Times New Roman" w:cs="Times New Roman"/>
              </w:rPr>
              <w:br/>
              <w:t>- dokument posiada wszystkie niezbędne rozdziały</w:t>
            </w:r>
            <w:r w:rsidRPr="00E87A5F">
              <w:rPr>
                <w:rFonts w:ascii="Times New Roman" w:hAnsi="Times New Roman" w:cs="Times New Roman"/>
              </w:rPr>
              <w:br/>
              <w:t>- wszystkie niezbędne rozdziały LSR spełniają podstawowe kryteria ewaluacji</w:t>
            </w:r>
          </w:p>
          <w:p w:rsidR="005F5E3C" w:rsidRPr="00E87A5F" w:rsidRDefault="005F5E3C" w:rsidP="00067FD0">
            <w:pPr>
              <w:rPr>
                <w:rFonts w:ascii="Times New Roman" w:hAnsi="Times New Roman" w:cs="Times New Roman"/>
              </w:rPr>
            </w:pPr>
          </w:p>
        </w:tc>
      </w:tr>
      <w:tr w:rsidR="005F5E3C" w:rsidRPr="00E87A5F" w:rsidTr="00067FD0">
        <w:tc>
          <w:tcPr>
            <w:tcW w:w="1384" w:type="dxa"/>
            <w:vMerge w:val="restart"/>
            <w:shd w:val="clear" w:color="auto" w:fill="B8CCE4" w:themeFill="accent1" w:themeFillTint="66"/>
            <w:vAlign w:val="center"/>
          </w:tcPr>
          <w:p w:rsidR="005F5E3C" w:rsidRPr="00E87A5F" w:rsidRDefault="005F5E3C" w:rsidP="00067FD0">
            <w:pPr>
              <w:jc w:val="center"/>
              <w:rPr>
                <w:rFonts w:ascii="Times New Roman" w:hAnsi="Times New Roman" w:cs="Times New Roman"/>
                <w:b/>
                <w:bCs/>
                <w:i/>
                <w:lang w:val="en-US"/>
              </w:rPr>
            </w:pPr>
            <w:proofErr w:type="spellStart"/>
            <w:r w:rsidRPr="00E87A5F">
              <w:rPr>
                <w:rFonts w:ascii="Times New Roman" w:hAnsi="Times New Roman" w:cs="Times New Roman"/>
                <w:b/>
                <w:bCs/>
                <w:i/>
                <w:lang w:val="en-US"/>
              </w:rPr>
              <w:t>Ewaluacja</w:t>
            </w:r>
            <w:proofErr w:type="spellEnd"/>
            <w:r w:rsidRPr="00E87A5F">
              <w:rPr>
                <w:rFonts w:ascii="Times New Roman" w:hAnsi="Times New Roman" w:cs="Times New Roman"/>
                <w:b/>
                <w:bCs/>
                <w:i/>
                <w:lang w:val="en-US"/>
              </w:rPr>
              <w:t xml:space="preserve"> on - going </w:t>
            </w:r>
            <w:proofErr w:type="spellStart"/>
            <w:r w:rsidRPr="00E87A5F">
              <w:rPr>
                <w:rFonts w:ascii="Times New Roman" w:hAnsi="Times New Roman" w:cs="Times New Roman"/>
                <w:b/>
                <w:bCs/>
                <w:i/>
                <w:lang w:val="en-US"/>
              </w:rPr>
              <w:t>i</w:t>
            </w:r>
            <w:proofErr w:type="spellEnd"/>
            <w:r w:rsidRPr="00E87A5F">
              <w:rPr>
                <w:rFonts w:ascii="Times New Roman" w:hAnsi="Times New Roman" w:cs="Times New Roman"/>
                <w:b/>
                <w:bCs/>
                <w:i/>
                <w:lang w:val="en-US"/>
              </w:rPr>
              <w:t xml:space="preserve"> ex - post</w:t>
            </w:r>
          </w:p>
        </w:tc>
        <w:tc>
          <w:tcPr>
            <w:tcW w:w="3330" w:type="dxa"/>
          </w:tcPr>
          <w:p w:rsidR="005F5E3C" w:rsidRPr="00E87A5F" w:rsidRDefault="005F5E3C" w:rsidP="00067FD0">
            <w:pPr>
              <w:rPr>
                <w:rFonts w:ascii="Times New Roman" w:hAnsi="Times New Roman" w:cs="Times New Roman"/>
                <w:bCs/>
              </w:rPr>
            </w:pPr>
            <w:r w:rsidRPr="00E87A5F">
              <w:rPr>
                <w:rFonts w:ascii="Times New Roman" w:hAnsi="Times New Roman" w:cs="Times New Roman"/>
                <w:bCs/>
              </w:rPr>
              <w:t>Działalność LGD,</w:t>
            </w:r>
            <w:r w:rsidRPr="00E87A5F">
              <w:rPr>
                <w:rFonts w:ascii="Times New Roman" w:hAnsi="Times New Roman" w:cs="Times New Roman"/>
                <w:bCs/>
              </w:rPr>
              <w:br/>
              <w:t>pracownicy</w:t>
            </w:r>
            <w:r w:rsidRPr="00E87A5F">
              <w:rPr>
                <w:rFonts w:ascii="Times New Roman" w:hAnsi="Times New Roman" w:cs="Times New Roman"/>
                <w:bCs/>
              </w:rPr>
              <w:br/>
              <w:t>i funkcjonowanie</w:t>
            </w:r>
            <w:r w:rsidRPr="00E87A5F">
              <w:rPr>
                <w:rFonts w:ascii="Times New Roman" w:hAnsi="Times New Roman" w:cs="Times New Roman"/>
                <w:bCs/>
              </w:rPr>
              <w:br/>
              <w:t>biura</w:t>
            </w:r>
          </w:p>
        </w:tc>
        <w:tc>
          <w:tcPr>
            <w:tcW w:w="191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opinie beneficjentów,</w:t>
            </w:r>
            <w:r w:rsidRPr="00E87A5F">
              <w:rPr>
                <w:rFonts w:ascii="Times New Roman" w:hAnsi="Times New Roman" w:cs="Times New Roman"/>
              </w:rPr>
              <w:br/>
              <w:t>rozmowy z mieszkańcami na otwartych</w:t>
            </w:r>
            <w:r w:rsidRPr="00E87A5F">
              <w:rPr>
                <w:rFonts w:ascii="Times New Roman" w:hAnsi="Times New Roman" w:cs="Times New Roman"/>
              </w:rPr>
              <w:br/>
              <w:t>spotkaniach, wywiady z wnioskodawcami,</w:t>
            </w:r>
            <w:r w:rsidRPr="00E87A5F">
              <w:rPr>
                <w:rFonts w:ascii="Times New Roman" w:hAnsi="Times New Roman" w:cs="Times New Roman"/>
              </w:rPr>
              <w:br/>
              <w:t>opinie dyrektora i członków</w:t>
            </w:r>
            <w:r w:rsidRPr="00E87A5F">
              <w:rPr>
                <w:rFonts w:ascii="Times New Roman" w:hAnsi="Times New Roman" w:cs="Times New Roman"/>
              </w:rPr>
              <w:br/>
              <w:t>Stowarzyszenia</w:t>
            </w:r>
          </w:p>
          <w:p w:rsidR="005F5E3C" w:rsidRPr="00E87A5F" w:rsidRDefault="005F5E3C" w:rsidP="00067FD0">
            <w:pPr>
              <w:rPr>
                <w:rFonts w:ascii="Times New Roman" w:hAnsi="Times New Roman" w:cs="Times New Roman"/>
              </w:rPr>
            </w:pP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Ocena poprawności działalności</w:t>
            </w:r>
            <w:r w:rsidRPr="00E87A5F">
              <w:rPr>
                <w:rFonts w:ascii="Times New Roman" w:hAnsi="Times New Roman" w:cs="Times New Roman"/>
              </w:rPr>
              <w:br/>
              <w:t>prowadzonej przez Stowarzyszenie,</w:t>
            </w:r>
            <w:r w:rsidRPr="00E87A5F">
              <w:rPr>
                <w:rFonts w:ascii="Times New Roman" w:hAnsi="Times New Roman" w:cs="Times New Roman"/>
              </w:rPr>
              <w:br/>
              <w:t>określająca skuteczność realizowanych</w:t>
            </w:r>
            <w:r w:rsidRPr="00E87A5F">
              <w:rPr>
                <w:rFonts w:ascii="Times New Roman" w:hAnsi="Times New Roman" w:cs="Times New Roman"/>
              </w:rPr>
              <w:br/>
              <w:t>zadań w odniesieniu do założeń LSR</w:t>
            </w:r>
          </w:p>
        </w:tc>
      </w:tr>
      <w:tr w:rsidR="005F5E3C" w:rsidRPr="00E87A5F" w:rsidTr="00067FD0">
        <w:tc>
          <w:tcPr>
            <w:tcW w:w="1384" w:type="dxa"/>
            <w:vMerge/>
            <w:shd w:val="clear" w:color="auto" w:fill="B8CCE4" w:themeFill="accent1" w:themeFillTint="66"/>
          </w:tcPr>
          <w:p w:rsidR="005F5E3C" w:rsidRPr="00E87A5F" w:rsidRDefault="005F5E3C" w:rsidP="00067FD0">
            <w:pPr>
              <w:rPr>
                <w:rFonts w:ascii="Times New Roman" w:hAnsi="Times New Roman" w:cs="Times New Roman"/>
                <w:b/>
                <w:bCs/>
              </w:rPr>
            </w:pPr>
          </w:p>
        </w:tc>
        <w:tc>
          <w:tcPr>
            <w:tcW w:w="3330" w:type="dxa"/>
          </w:tcPr>
          <w:p w:rsidR="005F5E3C" w:rsidRPr="00E87A5F" w:rsidRDefault="005F5E3C" w:rsidP="00067FD0">
            <w:pPr>
              <w:rPr>
                <w:rFonts w:ascii="Times New Roman" w:hAnsi="Times New Roman" w:cs="Times New Roman"/>
                <w:bCs/>
              </w:rPr>
            </w:pPr>
            <w:r w:rsidRPr="00E87A5F">
              <w:rPr>
                <w:rFonts w:ascii="Times New Roman" w:hAnsi="Times New Roman" w:cs="Times New Roman"/>
                <w:bCs/>
              </w:rPr>
              <w:t>Skuteczność promocji</w:t>
            </w:r>
            <w:r w:rsidRPr="00E87A5F">
              <w:rPr>
                <w:rFonts w:ascii="Times New Roman" w:hAnsi="Times New Roman" w:cs="Times New Roman"/>
                <w:bCs/>
              </w:rPr>
              <w:br/>
              <w:t>i aktywizacji</w:t>
            </w:r>
            <w:r w:rsidRPr="00E87A5F">
              <w:rPr>
                <w:rFonts w:ascii="Times New Roman" w:hAnsi="Times New Roman" w:cs="Times New Roman"/>
                <w:bCs/>
              </w:rPr>
              <w:br/>
              <w:t>społeczności lokalnej</w:t>
            </w:r>
          </w:p>
        </w:tc>
        <w:tc>
          <w:tcPr>
            <w:tcW w:w="191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wśród mieszkańców,</w:t>
            </w:r>
            <w:r w:rsidRPr="00E87A5F">
              <w:rPr>
                <w:rFonts w:ascii="Times New Roman" w:hAnsi="Times New Roman" w:cs="Times New Roman"/>
              </w:rPr>
              <w:br/>
              <w:t>prowadzone bezpośrednio, za</w:t>
            </w:r>
            <w:r w:rsidRPr="00E87A5F">
              <w:rPr>
                <w:rFonts w:ascii="Times New Roman" w:hAnsi="Times New Roman" w:cs="Times New Roman"/>
              </w:rPr>
              <w:br/>
              <w:t xml:space="preserve">pośrednictwem strony </w:t>
            </w:r>
            <w:r w:rsidRPr="00E87A5F">
              <w:rPr>
                <w:rFonts w:ascii="Times New Roman" w:hAnsi="Times New Roman" w:cs="Times New Roman"/>
              </w:rPr>
              <w:lastRenderedPageBreak/>
              <w:t>internetowej</w:t>
            </w:r>
            <w:r w:rsidRPr="00E87A5F">
              <w:rPr>
                <w:rFonts w:ascii="Times New Roman" w:hAnsi="Times New Roman" w:cs="Times New Roman"/>
              </w:rPr>
              <w:br/>
              <w:t>Stowarzyszenia</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 xml:space="preserve">roku kolejnego, z </w:t>
            </w:r>
            <w:r w:rsidRPr="00E87A5F">
              <w:rPr>
                <w:rFonts w:ascii="Times New Roman" w:hAnsi="Times New Roman" w:cs="Times New Roman"/>
              </w:rPr>
              <w:lastRenderedPageBreak/>
              <w:t>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Ocena skuteczności promocji LGD oraz</w:t>
            </w:r>
            <w:r w:rsidRPr="00E87A5F">
              <w:rPr>
                <w:rFonts w:ascii="Times New Roman" w:hAnsi="Times New Roman" w:cs="Times New Roman"/>
              </w:rPr>
              <w:br/>
              <w:t>działań wdrażanych w ramach LSR,</w:t>
            </w:r>
            <w:r w:rsidRPr="00E87A5F">
              <w:rPr>
                <w:rFonts w:ascii="Times New Roman" w:hAnsi="Times New Roman" w:cs="Times New Roman"/>
              </w:rPr>
              <w:br/>
              <w:t xml:space="preserve">mierzona, jako liczba </w:t>
            </w:r>
            <w:r w:rsidRPr="00E87A5F">
              <w:rPr>
                <w:rFonts w:ascii="Times New Roman" w:hAnsi="Times New Roman" w:cs="Times New Roman"/>
              </w:rPr>
              <w:lastRenderedPageBreak/>
              <w:t>osób, które uzyskały</w:t>
            </w:r>
            <w:r w:rsidRPr="00E87A5F">
              <w:rPr>
                <w:rFonts w:ascii="Times New Roman" w:hAnsi="Times New Roman" w:cs="Times New Roman"/>
              </w:rPr>
              <w:br/>
              <w:t>informację na temat LGD oraz skuteczność</w:t>
            </w:r>
            <w:r w:rsidRPr="00E87A5F">
              <w:rPr>
                <w:rFonts w:ascii="Times New Roman" w:hAnsi="Times New Roman" w:cs="Times New Roman"/>
              </w:rPr>
              <w:br/>
              <w:t>animacji społeczności</w:t>
            </w:r>
          </w:p>
          <w:p w:rsidR="005F5E3C" w:rsidRPr="00E87A5F" w:rsidRDefault="005F5E3C" w:rsidP="00067FD0">
            <w:pPr>
              <w:rPr>
                <w:rFonts w:ascii="Times New Roman" w:hAnsi="Times New Roman" w:cs="Times New Roman"/>
              </w:rPr>
            </w:pPr>
          </w:p>
        </w:tc>
      </w:tr>
      <w:tr w:rsidR="002218DD" w:rsidRPr="00E87A5F" w:rsidTr="00067FD0">
        <w:tc>
          <w:tcPr>
            <w:tcW w:w="1384" w:type="dxa"/>
            <w:vMerge/>
            <w:shd w:val="clear" w:color="auto" w:fill="B8CCE4" w:themeFill="accent1" w:themeFillTint="66"/>
          </w:tcPr>
          <w:p w:rsidR="002218DD" w:rsidRPr="00E87A5F" w:rsidRDefault="002218DD" w:rsidP="00067FD0">
            <w:pPr>
              <w:rPr>
                <w:rFonts w:ascii="Times New Roman" w:hAnsi="Times New Roman" w:cs="Times New Roman"/>
                <w:b/>
                <w:bCs/>
              </w:rPr>
            </w:pPr>
          </w:p>
        </w:tc>
        <w:tc>
          <w:tcPr>
            <w:tcW w:w="3330" w:type="dxa"/>
          </w:tcPr>
          <w:p w:rsidR="002218DD" w:rsidRPr="002218DD" w:rsidRDefault="002218DD" w:rsidP="002D54D8">
            <w:pPr>
              <w:rPr>
                <w:rFonts w:eastAsia="Calibri" w:cs="Times New Roman"/>
                <w:bCs/>
              </w:rPr>
            </w:pPr>
            <w:r w:rsidRPr="002218DD">
              <w:rPr>
                <w:rFonts w:eastAsia="Calibri" w:cs="Times New Roman"/>
                <w:bCs/>
              </w:rPr>
              <w:t>Realizacja LSR</w:t>
            </w:r>
          </w:p>
        </w:tc>
        <w:tc>
          <w:tcPr>
            <w:tcW w:w="1915" w:type="dxa"/>
          </w:tcPr>
          <w:p w:rsidR="002218DD" w:rsidRPr="002218DD" w:rsidRDefault="002218DD" w:rsidP="002D54D8">
            <w:pPr>
              <w:rPr>
                <w:rFonts w:eastAsia="Calibri" w:cs="Times New Roman"/>
              </w:rPr>
            </w:pPr>
            <w:r w:rsidRPr="002218DD">
              <w:rPr>
                <w:rFonts w:eastAsia="Calibri" w:cs="Times New Roman"/>
              </w:rPr>
              <w:t>Biuro LGD</w:t>
            </w:r>
            <w:r w:rsidR="000F5DAD">
              <w:t xml:space="preserve"> /</w:t>
            </w:r>
            <w:r w:rsidR="000F5DAD" w:rsidRPr="000F5DAD">
              <w:rPr>
                <w:rFonts w:eastAsia="Calibri" w:cs="Times New Roman"/>
              </w:rPr>
              <w:t>podmiot zewnętrzny</w:t>
            </w:r>
          </w:p>
        </w:tc>
        <w:tc>
          <w:tcPr>
            <w:tcW w:w="2799" w:type="dxa"/>
          </w:tcPr>
          <w:p w:rsidR="002218DD" w:rsidRPr="002218DD" w:rsidRDefault="002218DD" w:rsidP="002D54D8">
            <w:pPr>
              <w:rPr>
                <w:rFonts w:eastAsia="Calibri" w:cs="Times New Roman"/>
              </w:rPr>
            </w:pPr>
            <w:r w:rsidRPr="002218DD">
              <w:rPr>
                <w:rFonts w:eastAsia="Calibri" w:cs="Times New Roman"/>
              </w:rPr>
              <w:t>Otwarte spotkania warsztatowe w formie spotkania refleksyjnego</w:t>
            </w:r>
          </w:p>
        </w:tc>
        <w:tc>
          <w:tcPr>
            <w:tcW w:w="2357" w:type="dxa"/>
          </w:tcPr>
          <w:p w:rsidR="002218DD" w:rsidRPr="002218DD" w:rsidRDefault="002218DD" w:rsidP="002D54D8">
            <w:pPr>
              <w:rPr>
                <w:rFonts w:eastAsia="Calibri" w:cs="Times New Roman"/>
              </w:rPr>
            </w:pPr>
            <w:r w:rsidRPr="002218DD">
              <w:rPr>
                <w:rFonts w:eastAsia="Calibri" w:cs="Times New Roman"/>
              </w:rPr>
              <w:t>Raz w roku</w:t>
            </w:r>
          </w:p>
        </w:tc>
        <w:tc>
          <w:tcPr>
            <w:tcW w:w="2357" w:type="dxa"/>
          </w:tcPr>
          <w:p w:rsidR="002218DD" w:rsidRPr="002218DD" w:rsidRDefault="002218DD" w:rsidP="002D54D8">
            <w:pPr>
              <w:rPr>
                <w:rFonts w:eastAsia="Calibri" w:cs="Times New Roman"/>
              </w:rPr>
            </w:pPr>
            <w:r w:rsidRPr="002218DD">
              <w:rPr>
                <w:rFonts w:eastAsia="Calibri" w:cs="Times New Roman"/>
              </w:rPr>
              <w:t>Wnioski i rekomendacje</w:t>
            </w:r>
          </w:p>
        </w:tc>
      </w:tr>
      <w:tr w:rsidR="002218DD" w:rsidRPr="00E87A5F" w:rsidTr="00067FD0">
        <w:tc>
          <w:tcPr>
            <w:tcW w:w="1384" w:type="dxa"/>
            <w:vMerge/>
            <w:shd w:val="clear" w:color="auto" w:fill="B8CCE4" w:themeFill="accent1" w:themeFillTint="66"/>
          </w:tcPr>
          <w:p w:rsidR="002218DD" w:rsidRPr="00E87A5F" w:rsidRDefault="002218DD" w:rsidP="00067FD0">
            <w:pPr>
              <w:rPr>
                <w:rFonts w:ascii="Times New Roman" w:hAnsi="Times New Roman" w:cs="Times New Roman"/>
                <w:b/>
                <w:bCs/>
              </w:rPr>
            </w:pPr>
          </w:p>
        </w:tc>
        <w:tc>
          <w:tcPr>
            <w:tcW w:w="3330" w:type="dxa"/>
          </w:tcPr>
          <w:p w:rsidR="002218DD" w:rsidRPr="002218DD" w:rsidRDefault="002218DD" w:rsidP="002D54D8">
            <w:pPr>
              <w:rPr>
                <w:rFonts w:eastAsia="Calibri" w:cs="Times New Roman"/>
                <w:bCs/>
              </w:rPr>
            </w:pPr>
            <w:r w:rsidRPr="002218DD">
              <w:rPr>
                <w:rFonts w:eastAsia="Calibri" w:cs="Times New Roman"/>
                <w:bCs/>
              </w:rPr>
              <w:t>Dokument LSR</w:t>
            </w:r>
          </w:p>
        </w:tc>
        <w:tc>
          <w:tcPr>
            <w:tcW w:w="1915" w:type="dxa"/>
          </w:tcPr>
          <w:p w:rsidR="002218DD" w:rsidRPr="002218DD" w:rsidRDefault="002218DD" w:rsidP="002D54D8">
            <w:pPr>
              <w:rPr>
                <w:rFonts w:eastAsia="Calibri" w:cs="Times New Roman"/>
              </w:rPr>
            </w:pPr>
            <w:r w:rsidRPr="002218DD">
              <w:rPr>
                <w:rFonts w:eastAsia="Calibri" w:cs="Times New Roman"/>
              </w:rPr>
              <w:t>Organy LGD, biuro LGD</w:t>
            </w:r>
          </w:p>
        </w:tc>
        <w:tc>
          <w:tcPr>
            <w:tcW w:w="2799" w:type="dxa"/>
          </w:tcPr>
          <w:p w:rsidR="002218DD" w:rsidRPr="002218DD" w:rsidRDefault="002218DD" w:rsidP="002D54D8">
            <w:pPr>
              <w:rPr>
                <w:rFonts w:eastAsia="Calibri" w:cs="Times New Roman"/>
              </w:rPr>
            </w:pPr>
            <w:r w:rsidRPr="002218DD">
              <w:rPr>
                <w:rFonts w:eastAsia="Calibri" w:cs="Times New Roman"/>
              </w:rPr>
              <w:t>Wnioski i rekomendacje ze spotkania refleksyjnego</w:t>
            </w:r>
          </w:p>
        </w:tc>
        <w:tc>
          <w:tcPr>
            <w:tcW w:w="2357" w:type="dxa"/>
          </w:tcPr>
          <w:p w:rsidR="002218DD" w:rsidRPr="002218DD" w:rsidRDefault="002218DD" w:rsidP="002D54D8">
            <w:pPr>
              <w:rPr>
                <w:rFonts w:eastAsia="Calibri" w:cs="Times New Roman"/>
              </w:rPr>
            </w:pPr>
            <w:r w:rsidRPr="002218DD">
              <w:rPr>
                <w:rFonts w:eastAsia="Calibri" w:cs="Times New Roman"/>
              </w:rPr>
              <w:t>Raz w roku</w:t>
            </w:r>
          </w:p>
        </w:tc>
        <w:tc>
          <w:tcPr>
            <w:tcW w:w="2357" w:type="dxa"/>
          </w:tcPr>
          <w:p w:rsidR="002218DD" w:rsidRPr="002218DD" w:rsidRDefault="002218DD" w:rsidP="002D54D8">
            <w:pPr>
              <w:rPr>
                <w:rFonts w:eastAsia="Calibri" w:cs="Times New Roman"/>
              </w:rPr>
            </w:pPr>
            <w:r w:rsidRPr="002218DD">
              <w:rPr>
                <w:rFonts w:eastAsia="Calibri" w:cs="Times New Roman"/>
              </w:rPr>
              <w:t>Aktualizacja LSR</w:t>
            </w:r>
          </w:p>
        </w:tc>
      </w:tr>
      <w:tr w:rsidR="001A3932" w:rsidRPr="00E87A5F" w:rsidTr="00067FD0">
        <w:tc>
          <w:tcPr>
            <w:tcW w:w="1384" w:type="dxa"/>
            <w:vMerge/>
            <w:shd w:val="clear" w:color="auto" w:fill="B8CCE4" w:themeFill="accent1" w:themeFillTint="66"/>
          </w:tcPr>
          <w:p w:rsidR="001A3932" w:rsidRPr="00E87A5F" w:rsidRDefault="001A3932" w:rsidP="00067FD0">
            <w:pPr>
              <w:rPr>
                <w:rFonts w:ascii="Times New Roman" w:hAnsi="Times New Roman" w:cs="Times New Roman"/>
                <w:b/>
                <w:bCs/>
              </w:rPr>
            </w:pPr>
          </w:p>
        </w:tc>
        <w:tc>
          <w:tcPr>
            <w:tcW w:w="3330" w:type="dxa"/>
          </w:tcPr>
          <w:p w:rsidR="001A3932" w:rsidRPr="00E87A5F" w:rsidRDefault="001A3932" w:rsidP="00067FD0">
            <w:pPr>
              <w:rPr>
                <w:rFonts w:ascii="Times New Roman" w:hAnsi="Times New Roman" w:cs="Times New Roman"/>
                <w:bCs/>
              </w:rPr>
            </w:pPr>
            <w:r w:rsidRPr="00E87A5F">
              <w:rPr>
                <w:rFonts w:ascii="Times New Roman" w:hAnsi="Times New Roman" w:cs="Times New Roman"/>
                <w:bCs/>
              </w:rPr>
              <w:t>Stopień realizacji</w:t>
            </w:r>
            <w:r w:rsidRPr="00E87A5F">
              <w:rPr>
                <w:rFonts w:ascii="Times New Roman" w:hAnsi="Times New Roman" w:cs="Times New Roman"/>
                <w:bCs/>
              </w:rPr>
              <w:br/>
              <w:t>celów LSR – stopień</w:t>
            </w:r>
            <w:r w:rsidRPr="00E87A5F">
              <w:rPr>
                <w:rFonts w:ascii="Times New Roman" w:hAnsi="Times New Roman" w:cs="Times New Roman"/>
                <w:bCs/>
              </w:rPr>
              <w:br/>
              <w:t>realizacji</w:t>
            </w:r>
            <w:r w:rsidRPr="00E87A5F">
              <w:rPr>
                <w:rFonts w:ascii="Times New Roman" w:hAnsi="Times New Roman" w:cs="Times New Roman"/>
                <w:bCs/>
              </w:rPr>
              <w:br/>
              <w:t>wskaźników</w:t>
            </w:r>
          </w:p>
        </w:tc>
        <w:tc>
          <w:tcPr>
            <w:tcW w:w="1915" w:type="dxa"/>
          </w:tcPr>
          <w:p w:rsidR="001A3932" w:rsidRPr="00E87A5F" w:rsidRDefault="001A3932" w:rsidP="00067FD0">
            <w:pPr>
              <w:rPr>
                <w:rFonts w:ascii="Times New Roman" w:hAnsi="Times New Roman" w:cs="Times New Roman"/>
              </w:rPr>
            </w:pPr>
            <w:r w:rsidRPr="00E87A5F">
              <w:rPr>
                <w:rFonts w:ascii="Times New Roman" w:hAnsi="Times New Roman" w:cs="Times New Roman"/>
              </w:rPr>
              <w:t>Podmiot</w:t>
            </w:r>
            <w:r w:rsidRPr="00E87A5F">
              <w:rPr>
                <w:rFonts w:ascii="Times New Roman" w:hAnsi="Times New Roman" w:cs="Times New Roman"/>
              </w:rPr>
              <w:br/>
              <w:t>niezwiązany</w:t>
            </w:r>
            <w:r w:rsidRPr="00E87A5F">
              <w:rPr>
                <w:rFonts w:ascii="Times New Roman" w:hAnsi="Times New Roman" w:cs="Times New Roman"/>
              </w:rPr>
              <w:br/>
              <w:t>z LGD (ocena</w:t>
            </w:r>
            <w:r w:rsidRPr="00E87A5F">
              <w:rPr>
                <w:rFonts w:ascii="Times New Roman" w:hAnsi="Times New Roman" w:cs="Times New Roman"/>
              </w:rPr>
              <w:br/>
              <w:t>zewnętrzna)</w:t>
            </w:r>
          </w:p>
        </w:tc>
        <w:tc>
          <w:tcPr>
            <w:tcW w:w="2799" w:type="dxa"/>
          </w:tcPr>
          <w:p w:rsidR="001A3932" w:rsidRPr="001A3932" w:rsidRDefault="001A3932" w:rsidP="00666109">
            <w:pPr>
              <w:rPr>
                <w:rFonts w:eastAsia="Calibri" w:cs="Times New Roman"/>
              </w:rPr>
            </w:pPr>
            <w:r w:rsidRPr="001A3932">
              <w:rPr>
                <w:rFonts w:eastAsia="Calibri" w:cs="Times New Roman"/>
              </w:rPr>
              <w:t xml:space="preserve">Według metod zaproponowanych przez </w:t>
            </w:r>
            <w:proofErr w:type="spellStart"/>
            <w:r w:rsidRPr="001A3932">
              <w:rPr>
                <w:rFonts w:eastAsia="Calibri" w:cs="Times New Roman"/>
              </w:rPr>
              <w:t>ewaluatora</w:t>
            </w:r>
            <w:proofErr w:type="spellEnd"/>
          </w:p>
        </w:tc>
        <w:tc>
          <w:tcPr>
            <w:tcW w:w="2357" w:type="dxa"/>
          </w:tcPr>
          <w:p w:rsidR="001A3932" w:rsidRPr="001A3932" w:rsidRDefault="001A3932" w:rsidP="00666109">
            <w:pPr>
              <w:rPr>
                <w:rFonts w:eastAsia="Calibri" w:cs="Times New Roman"/>
              </w:rPr>
            </w:pPr>
            <w:r w:rsidRPr="001A3932">
              <w:rPr>
                <w:rFonts w:eastAsia="Calibri" w:cs="Times New Roman"/>
              </w:rPr>
              <w:t>Po roku 2020</w:t>
            </w:r>
          </w:p>
        </w:tc>
        <w:tc>
          <w:tcPr>
            <w:tcW w:w="2357" w:type="dxa"/>
          </w:tcPr>
          <w:p w:rsidR="001A3932" w:rsidRPr="00E87A5F" w:rsidRDefault="001A3932" w:rsidP="00067FD0">
            <w:pPr>
              <w:rPr>
                <w:rFonts w:ascii="Times New Roman" w:hAnsi="Times New Roman" w:cs="Times New Roman"/>
              </w:rPr>
            </w:pPr>
            <w:r w:rsidRPr="00E87A5F">
              <w:rPr>
                <w:rFonts w:ascii="Times New Roman" w:hAnsi="Times New Roman" w:cs="Times New Roman"/>
              </w:rPr>
              <w:t>Ocena celowości i trafności założeń</w:t>
            </w:r>
            <w:r w:rsidRPr="00E87A5F">
              <w:rPr>
                <w:rFonts w:ascii="Times New Roman" w:hAnsi="Times New Roman" w:cs="Times New Roman"/>
              </w:rPr>
              <w:br/>
              <w:t>realizowanych w ramach LSR. Określenie</w:t>
            </w:r>
            <w:r w:rsidRPr="00E87A5F">
              <w:rPr>
                <w:rFonts w:ascii="Times New Roman" w:hAnsi="Times New Roman" w:cs="Times New Roman"/>
              </w:rPr>
              <w:br/>
              <w:t>stopnia realizacji poszczególnych celów</w:t>
            </w:r>
          </w:p>
          <w:p w:rsidR="001A3932" w:rsidRPr="00E87A5F" w:rsidRDefault="001A3932" w:rsidP="00067FD0">
            <w:pPr>
              <w:rPr>
                <w:rFonts w:ascii="Times New Roman" w:hAnsi="Times New Roman" w:cs="Times New Roman"/>
              </w:rPr>
            </w:pPr>
          </w:p>
        </w:tc>
      </w:tr>
      <w:tr w:rsidR="00D947F3" w:rsidRPr="00E87A5F" w:rsidTr="00067FD0">
        <w:tc>
          <w:tcPr>
            <w:tcW w:w="1384" w:type="dxa"/>
            <w:vMerge/>
            <w:shd w:val="clear" w:color="auto" w:fill="B8CCE4" w:themeFill="accent1" w:themeFillTint="66"/>
          </w:tcPr>
          <w:p w:rsidR="00D947F3" w:rsidRPr="00E87A5F" w:rsidRDefault="00D947F3" w:rsidP="00067FD0">
            <w:pPr>
              <w:rPr>
                <w:rFonts w:ascii="Times New Roman" w:hAnsi="Times New Roman" w:cs="Times New Roman"/>
                <w:b/>
                <w:bCs/>
              </w:rPr>
            </w:pPr>
          </w:p>
        </w:tc>
        <w:tc>
          <w:tcPr>
            <w:tcW w:w="3330" w:type="dxa"/>
          </w:tcPr>
          <w:p w:rsidR="00D947F3" w:rsidRPr="00D947F3" w:rsidRDefault="00D947F3" w:rsidP="00D947F3">
            <w:pPr>
              <w:rPr>
                <w:rFonts w:eastAsia="Calibri" w:cs="Times New Roman"/>
                <w:bCs/>
              </w:rPr>
            </w:pPr>
            <w:r w:rsidRPr="00C66326">
              <w:rPr>
                <w:rFonts w:ascii="Times New Roman" w:eastAsia="Calibri" w:hAnsi="Times New Roman" w:cs="Times New Roman"/>
                <w:bCs/>
              </w:rPr>
              <w:t>Harmonogram</w:t>
            </w:r>
            <w:r w:rsidRPr="00D947F3">
              <w:rPr>
                <w:rFonts w:eastAsia="Calibri" w:cs="Times New Roman"/>
                <w:bCs/>
              </w:rPr>
              <w:br/>
            </w:r>
            <w:r w:rsidRPr="00C66326">
              <w:rPr>
                <w:rFonts w:ascii="Times New Roman" w:eastAsia="Calibri" w:hAnsi="Times New Roman" w:cs="Times New Roman"/>
                <w:bCs/>
              </w:rPr>
              <w:t>ogłaszanych konkursów</w:t>
            </w:r>
          </w:p>
        </w:tc>
        <w:tc>
          <w:tcPr>
            <w:tcW w:w="1915" w:type="dxa"/>
          </w:tcPr>
          <w:p w:rsidR="00D947F3" w:rsidRPr="00C40646" w:rsidRDefault="00D947F3" w:rsidP="00D947F3">
            <w:pPr>
              <w:rPr>
                <w:rFonts w:eastAsia="Calibri" w:cs="Times New Roman"/>
              </w:rPr>
            </w:pPr>
            <w:r w:rsidRPr="00C40646">
              <w:rPr>
                <w:rFonts w:eastAsia="Calibri" w:cs="Times New Roman"/>
              </w:rPr>
              <w:t>Biuro LGD</w:t>
            </w:r>
            <w:r w:rsidRPr="00C40646">
              <w:rPr>
                <w:rFonts w:eastAsia="Calibri" w:cs="Times New Roman"/>
              </w:rPr>
              <w:br/>
              <w:t>(ocena własna)</w:t>
            </w:r>
          </w:p>
        </w:tc>
        <w:tc>
          <w:tcPr>
            <w:tcW w:w="2799" w:type="dxa"/>
          </w:tcPr>
          <w:p w:rsidR="00D947F3" w:rsidRPr="00C40646" w:rsidRDefault="00D947F3" w:rsidP="00D947F3">
            <w:pPr>
              <w:rPr>
                <w:rFonts w:eastAsia="Calibri" w:cs="Times New Roman"/>
              </w:rPr>
            </w:pPr>
            <w:r w:rsidRPr="00C40646">
              <w:rPr>
                <w:rFonts w:eastAsia="Calibri" w:cs="Times New Roman"/>
              </w:rPr>
              <w:t>Rejestr danych</w:t>
            </w:r>
          </w:p>
        </w:tc>
        <w:tc>
          <w:tcPr>
            <w:tcW w:w="2357" w:type="dxa"/>
            <w:shd w:val="clear" w:color="auto" w:fill="FFFFFF" w:themeFill="background1"/>
          </w:tcPr>
          <w:p w:rsidR="00D947F3" w:rsidRPr="00C66326" w:rsidRDefault="00D947F3" w:rsidP="00D947F3">
            <w:pPr>
              <w:rPr>
                <w:rFonts w:ascii="Times New Roman" w:eastAsia="Calibri" w:hAnsi="Times New Roman" w:cs="Times New Roman"/>
              </w:rPr>
            </w:pPr>
            <w:r w:rsidRPr="00C66326">
              <w:rPr>
                <w:rFonts w:ascii="Times New Roman" w:eastAsia="Calibri" w:hAnsi="Times New Roman" w:cs="Times New Roman"/>
                <w:shd w:val="clear" w:color="auto" w:fill="FFFFFF"/>
              </w:rPr>
              <w:t>Raz  w roku, ostatnia wykonywana</w:t>
            </w:r>
            <w:r w:rsidRPr="00C66326">
              <w:rPr>
                <w:rFonts w:ascii="Times New Roman" w:eastAsia="Calibri" w:hAnsi="Times New Roman" w:cs="Times New Roman"/>
              </w:rPr>
              <w:br/>
              <w:t>w październiku 2023 roku</w:t>
            </w:r>
          </w:p>
        </w:tc>
        <w:tc>
          <w:tcPr>
            <w:tcW w:w="2357" w:type="dxa"/>
          </w:tcPr>
          <w:p w:rsidR="00D947F3" w:rsidRPr="00C66326" w:rsidRDefault="00D947F3" w:rsidP="00D947F3">
            <w:pPr>
              <w:rPr>
                <w:rFonts w:ascii="Times New Roman" w:eastAsia="Calibri" w:hAnsi="Times New Roman" w:cs="Times New Roman"/>
              </w:rPr>
            </w:pPr>
            <w:r w:rsidRPr="00C66326">
              <w:rPr>
                <w:rFonts w:ascii="Times New Roman" w:eastAsia="Calibri" w:hAnsi="Times New Roman" w:cs="Times New Roman"/>
              </w:rPr>
              <w:t>Ocena zgodności ogłaszanych</w:t>
            </w:r>
            <w:r w:rsidRPr="00C66326">
              <w:rPr>
                <w:rFonts w:ascii="Times New Roman" w:eastAsia="Calibri" w:hAnsi="Times New Roman" w:cs="Times New Roman"/>
              </w:rPr>
              <w:br/>
              <w:t>konkursów</w:t>
            </w:r>
          </w:p>
        </w:tc>
      </w:tr>
    </w:tbl>
    <w:p w:rsidR="005F5E3C" w:rsidRDefault="005F5E3C" w:rsidP="005F5E3C">
      <w:pPr>
        <w:rPr>
          <w:rFonts w:ascii="Times New Roman" w:hAnsi="Times New Roman" w:cs="Times New Roman"/>
        </w:rPr>
      </w:pPr>
    </w:p>
    <w:p w:rsidR="004F7D1A" w:rsidRDefault="004F7D1A" w:rsidP="005B0671">
      <w:pPr>
        <w:pStyle w:val="Nagwek3"/>
        <w:rPr>
          <w:rFonts w:ascii="Times New Roman" w:hAnsi="Times New Roman" w:cs="Times New Roman"/>
        </w:rPr>
      </w:pPr>
      <w:bookmarkStart w:id="85" w:name="_Toc439184085"/>
    </w:p>
    <w:p w:rsidR="004F7D1A" w:rsidRDefault="004F7D1A" w:rsidP="005B0671">
      <w:pPr>
        <w:pStyle w:val="Nagwek3"/>
        <w:rPr>
          <w:rFonts w:ascii="Times New Roman" w:hAnsi="Times New Roman" w:cs="Times New Roman"/>
        </w:rPr>
      </w:pPr>
    </w:p>
    <w:p w:rsidR="00D947F3" w:rsidRDefault="00D947F3" w:rsidP="00D947F3"/>
    <w:p w:rsidR="00D947F3" w:rsidRPr="00D947F3" w:rsidRDefault="00D947F3" w:rsidP="00D947F3"/>
    <w:bookmarkEnd w:id="85"/>
    <w:p w:rsidR="005B0671" w:rsidRDefault="005B0671" w:rsidP="005B0671"/>
    <w:p w:rsidR="007870F1" w:rsidRDefault="007870F1" w:rsidP="005B0671"/>
    <w:p w:rsidR="007870F1" w:rsidRDefault="007870F1" w:rsidP="005B0671"/>
    <w:p w:rsidR="004F7D1A" w:rsidRDefault="004F7D1A" w:rsidP="004F7D1A">
      <w:pPr>
        <w:pStyle w:val="Nagwek3"/>
      </w:pPr>
      <w:r>
        <w:lastRenderedPageBreak/>
        <w:t>Załącznik nr 3 Plan działania</w:t>
      </w:r>
    </w:p>
    <w:p w:rsidR="00176C61" w:rsidRDefault="00176C61" w:rsidP="005B0671">
      <w:pPr>
        <w:pStyle w:val="Legenda"/>
        <w:rPr>
          <w:rFonts w:ascii="Times New Roman" w:hAnsi="Times New Roman"/>
          <w:sz w:val="22"/>
          <w:szCs w:val="22"/>
        </w:rPr>
      </w:pPr>
    </w:p>
    <w:p w:rsidR="005B0671" w:rsidRPr="00176C61" w:rsidRDefault="005B0671" w:rsidP="00176C61">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24</w:t>
      </w:r>
      <w:r w:rsidR="004F4A74" w:rsidRPr="00E87A5F">
        <w:rPr>
          <w:rFonts w:ascii="Times New Roman" w:hAnsi="Times New Roman"/>
          <w:sz w:val="22"/>
          <w:szCs w:val="22"/>
        </w:rPr>
        <w:fldChar w:fldCharType="end"/>
      </w:r>
      <w:r w:rsidRPr="00E87A5F">
        <w:rPr>
          <w:rFonts w:ascii="Times New Roman" w:hAnsi="Times New Roman"/>
          <w:sz w:val="22"/>
          <w:szCs w:val="22"/>
        </w:rPr>
        <w:t>. Plan działania</w:t>
      </w:r>
    </w:p>
    <w:tbl>
      <w:tblPr>
        <w:tblpPr w:leftFromText="141" w:rightFromText="141" w:vertAnchor="text" w:tblpY="1"/>
        <w:tblOverlap w:val="never"/>
        <w:tblW w:w="8669"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62"/>
        <w:gridCol w:w="164"/>
        <w:gridCol w:w="1590"/>
        <w:gridCol w:w="787"/>
        <w:gridCol w:w="50"/>
        <w:gridCol w:w="700"/>
        <w:gridCol w:w="33"/>
        <w:gridCol w:w="287"/>
        <w:gridCol w:w="1003"/>
        <w:gridCol w:w="792"/>
        <w:gridCol w:w="889"/>
        <w:gridCol w:w="11"/>
        <w:gridCol w:w="992"/>
        <w:gridCol w:w="792"/>
        <w:gridCol w:w="889"/>
        <w:gridCol w:w="889"/>
        <w:gridCol w:w="1030"/>
        <w:gridCol w:w="1008"/>
        <w:gridCol w:w="981"/>
        <w:gridCol w:w="1242"/>
        <w:gridCol w:w="1008"/>
        <w:gridCol w:w="1008"/>
        <w:gridCol w:w="1008"/>
        <w:gridCol w:w="1008"/>
        <w:gridCol w:w="1008"/>
        <w:gridCol w:w="1008"/>
        <w:gridCol w:w="1008"/>
        <w:gridCol w:w="1008"/>
        <w:gridCol w:w="1008"/>
        <w:gridCol w:w="1008"/>
        <w:gridCol w:w="1008"/>
        <w:gridCol w:w="531"/>
      </w:tblGrid>
      <w:tr w:rsidR="000B7DD7" w:rsidRPr="00FB3FCB" w:rsidTr="000B7DD7">
        <w:trPr>
          <w:gridAfter w:val="12"/>
          <w:wAfter w:w="2145" w:type="pct"/>
        </w:trPr>
        <w:tc>
          <w:tcPr>
            <w:tcW w:w="281" w:type="pct"/>
            <w:gridSpan w:val="2"/>
            <w:vMerge w:val="restart"/>
            <w:shd w:val="clear" w:color="auto" w:fill="B6DDE8" w:themeFill="accent5" w:themeFillTint="6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OGÓLNY </w:t>
            </w:r>
          </w:p>
          <w:p w:rsidR="00FB3FCB" w:rsidRPr="00FB3FCB" w:rsidRDefault="00FB3FCB" w:rsidP="00485250">
            <w:pPr>
              <w:suppressAutoHyphens/>
              <w:spacing w:after="0" w:line="240" w:lineRule="auto"/>
              <w:rPr>
                <w:rFonts w:ascii="Calibri" w:eastAsia="Times New Roman" w:hAnsi="Calibri" w:cs="Times New Roman"/>
                <w:b/>
              </w:rPr>
            </w:pPr>
          </w:p>
        </w:tc>
        <w:tc>
          <w:tcPr>
            <w:tcW w:w="292" w:type="pct"/>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Lata</w:t>
            </w:r>
          </w:p>
        </w:tc>
        <w:tc>
          <w:tcPr>
            <w:tcW w:w="527" w:type="pct"/>
            <w:gridSpan w:val="6"/>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2016-2018</w:t>
            </w:r>
          </w:p>
        </w:tc>
        <w:tc>
          <w:tcPr>
            <w:tcW w:w="495" w:type="pct"/>
            <w:gridSpan w:val="4"/>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2019-2021</w:t>
            </w:r>
          </w:p>
        </w:tc>
        <w:tc>
          <w:tcPr>
            <w:tcW w:w="474" w:type="pct"/>
            <w:gridSpan w:val="3"/>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2022 -2023</w:t>
            </w:r>
          </w:p>
        </w:tc>
        <w:tc>
          <w:tcPr>
            <w:tcW w:w="376" w:type="pct"/>
            <w:gridSpan w:val="2"/>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2016-2023</w:t>
            </w:r>
          </w:p>
        </w:tc>
        <w:tc>
          <w:tcPr>
            <w:tcW w:w="181" w:type="pct"/>
            <w:vMerge w:val="restart"/>
            <w:shd w:val="clear" w:color="auto" w:fill="FBD4B4" w:themeFill="accent6" w:themeFillTint="6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Program</w:t>
            </w:r>
          </w:p>
        </w:tc>
        <w:tc>
          <w:tcPr>
            <w:tcW w:w="229" w:type="pct"/>
            <w:vMerge w:val="restart"/>
            <w:shd w:val="clear" w:color="auto" w:fill="FBD4B4" w:themeFill="accent6" w:themeFillTint="6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Podziałanie/zakres Programu</w:t>
            </w:r>
          </w:p>
        </w:tc>
      </w:tr>
      <w:tr w:rsidR="000B7DD7" w:rsidRPr="00FB3FCB" w:rsidTr="000B7DD7">
        <w:trPr>
          <w:gridAfter w:val="12"/>
          <w:wAfter w:w="2145" w:type="pct"/>
        </w:trPr>
        <w:tc>
          <w:tcPr>
            <w:tcW w:w="281" w:type="pct"/>
            <w:gridSpan w:val="2"/>
            <w:vMerge/>
            <w:shd w:val="clear" w:color="auto" w:fill="B6DDE8" w:themeFill="accent5" w:themeFillTint="66"/>
          </w:tcPr>
          <w:p w:rsidR="00FB3FCB" w:rsidRPr="00FB3FCB" w:rsidRDefault="00FB3FCB" w:rsidP="00485250">
            <w:pPr>
              <w:suppressAutoHyphens/>
              <w:spacing w:after="0" w:line="240" w:lineRule="auto"/>
              <w:rPr>
                <w:rFonts w:ascii="Calibri" w:eastAsia="Times New Roman" w:hAnsi="Calibri" w:cs="Times New Roman"/>
              </w:rPr>
            </w:pPr>
          </w:p>
        </w:tc>
        <w:tc>
          <w:tcPr>
            <w:tcW w:w="292"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Nazwa wskaźnika</w:t>
            </w:r>
          </w:p>
        </w:tc>
        <w:tc>
          <w:tcPr>
            <w:tcW w:w="154" w:type="pct"/>
            <w:gridSpan w:val="2"/>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35" w:type="pct"/>
            <w:gridSpan w:val="2"/>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237" w:type="pct"/>
            <w:gridSpan w:val="2"/>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Planowane wsparcie</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6" w:type="pct"/>
            <w:gridSpan w:val="2"/>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83"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4"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64"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90"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Razem wartość wskaźników</w:t>
            </w:r>
          </w:p>
        </w:tc>
        <w:tc>
          <w:tcPr>
            <w:tcW w:w="186"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Razem planowane wsparcie </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81" w:type="pct"/>
            <w:vMerge/>
            <w:shd w:val="clear" w:color="auto" w:fill="FBD4B4" w:themeFill="accent6" w:themeFillTint="66"/>
          </w:tcPr>
          <w:p w:rsidR="00FB3FCB" w:rsidRPr="00FB3FCB" w:rsidRDefault="00FB3FCB" w:rsidP="00485250">
            <w:pPr>
              <w:suppressAutoHyphens/>
              <w:spacing w:after="0" w:line="240" w:lineRule="auto"/>
              <w:rPr>
                <w:rFonts w:ascii="Calibri" w:eastAsia="Times New Roman" w:hAnsi="Calibri" w:cs="Times New Roman"/>
              </w:rPr>
            </w:pPr>
          </w:p>
        </w:tc>
        <w:tc>
          <w:tcPr>
            <w:tcW w:w="229" w:type="pct"/>
            <w:vMerge/>
            <w:shd w:val="clear" w:color="auto" w:fill="FBD4B4" w:themeFill="accent6" w:themeFillTint="66"/>
          </w:tcPr>
          <w:p w:rsidR="00FB3FCB" w:rsidRPr="00FB3FCB" w:rsidRDefault="00FB3FCB" w:rsidP="00485250">
            <w:pPr>
              <w:suppressAutoHyphens/>
              <w:spacing w:after="0" w:line="240" w:lineRule="auto"/>
              <w:rPr>
                <w:rFonts w:ascii="Calibri" w:eastAsia="Times New Roman" w:hAnsi="Calibri" w:cs="Times New Roman"/>
              </w:rPr>
            </w:pPr>
          </w:p>
        </w:tc>
      </w:tr>
      <w:tr w:rsidR="00FB3FCB" w:rsidRPr="00FB3FCB" w:rsidTr="000B7DD7">
        <w:trPr>
          <w:gridAfter w:val="12"/>
          <w:wAfter w:w="2145" w:type="pct"/>
          <w:trHeight w:val="195"/>
        </w:trPr>
        <w:tc>
          <w:tcPr>
            <w:tcW w:w="2855" w:type="pct"/>
            <w:gridSpan w:val="20"/>
            <w:shd w:val="clear" w:color="auto" w:fill="FFB27D"/>
          </w:tcPr>
          <w:p w:rsidR="00FB3FCB" w:rsidRPr="00FB3FCB" w:rsidRDefault="00FB3FCB" w:rsidP="00485250">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 xml:space="preserve">Cel ogólny 1. Zrównoważony rozwój </w:t>
            </w:r>
            <w:proofErr w:type="spellStart"/>
            <w:r w:rsidRPr="00FB3FCB">
              <w:rPr>
                <w:rFonts w:ascii="Calibri" w:eastAsia="Times New Roman" w:hAnsi="Calibri" w:cs="Times New Roman"/>
                <w:b/>
              </w:rPr>
              <w:t>społeczno</w:t>
            </w:r>
            <w:proofErr w:type="spellEnd"/>
            <w:r w:rsidRPr="00FB3FCB">
              <w:rPr>
                <w:rFonts w:ascii="Calibri" w:eastAsia="Times New Roman" w:hAnsi="Calibri" w:cs="Times New Roman"/>
                <w:b/>
              </w:rPr>
              <w:t xml:space="preserve"> – gospodarczy oparty na wykorzystaniu zasobów obszaru z poszanowaniem środowiska i przeciwdziałaniu zmianom klimatycznym Lokalnej Grupy Działania Kwiat Lnu do 2022 (23) r.</w:t>
            </w:r>
          </w:p>
        </w:tc>
      </w:tr>
      <w:tr w:rsidR="00FB3FCB" w:rsidRPr="00FB3FCB" w:rsidTr="000B7DD7">
        <w:trPr>
          <w:gridAfter w:val="12"/>
          <w:wAfter w:w="2145" w:type="pct"/>
          <w:trHeight w:val="195"/>
        </w:trPr>
        <w:tc>
          <w:tcPr>
            <w:tcW w:w="2445" w:type="pct"/>
            <w:gridSpan w:val="18"/>
            <w:shd w:val="clear" w:color="auto" w:fill="B6DDE8" w:themeFill="accent5" w:themeFillTint="6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szczegółowy 1.1 Region z zadbaną przestrzenią publiczną i środowiskiem, atrakcyjny turystycznie </w:t>
            </w:r>
          </w:p>
        </w:tc>
        <w:tc>
          <w:tcPr>
            <w:tcW w:w="181" w:type="pct"/>
            <w:shd w:val="clear" w:color="auto" w:fill="FEC4BA"/>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PROW/RPO</w:t>
            </w:r>
          </w:p>
        </w:tc>
        <w:tc>
          <w:tcPr>
            <w:tcW w:w="229" w:type="pct"/>
            <w:shd w:val="clear" w:color="auto" w:fill="A6A6A6"/>
          </w:tcPr>
          <w:p w:rsidR="00FB3FCB" w:rsidRPr="00FB3FCB" w:rsidRDefault="00FB3FCB" w:rsidP="00485250">
            <w:pPr>
              <w:suppressAutoHyphens/>
              <w:spacing w:after="0" w:line="240" w:lineRule="auto"/>
              <w:rPr>
                <w:rFonts w:ascii="Calibri" w:eastAsia="Times New Roman" w:hAnsi="Calibri" w:cs="Times New Roman"/>
              </w:rPr>
            </w:pPr>
          </w:p>
        </w:tc>
      </w:tr>
      <w:tr w:rsidR="000B7DD7" w:rsidRPr="00FB3FCB" w:rsidTr="000B7DD7">
        <w:trPr>
          <w:gridAfter w:val="12"/>
          <w:wAfter w:w="2145" w:type="pct"/>
          <w:trHeight w:val="568"/>
        </w:trPr>
        <w:tc>
          <w:tcPr>
            <w:tcW w:w="251" w:type="pct"/>
            <w:shd w:val="clear" w:color="auto" w:fill="FFD5B9"/>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1.1.1</w:t>
            </w:r>
          </w:p>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Zagospodarowanie przestrzeni publicznej na potrzeby rekreacyjne i kulturowe</w:t>
            </w:r>
          </w:p>
        </w:tc>
        <w:tc>
          <w:tcPr>
            <w:tcW w:w="322" w:type="pct"/>
            <w:gridSpan w:val="2"/>
            <w:shd w:val="clear" w:color="auto" w:fill="auto"/>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zagospodarowanych miejsc przestrzeni publicznej</w:t>
            </w:r>
          </w:p>
        </w:tc>
        <w:tc>
          <w:tcPr>
            <w:tcW w:w="145" w:type="pct"/>
            <w:shd w:val="clear" w:color="auto" w:fill="auto"/>
            <w:vAlign w:val="center"/>
          </w:tcPr>
          <w:p w:rsidR="00FB3FCB" w:rsidRPr="00FB3FCB" w:rsidRDefault="00C3342A"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18</w:t>
            </w:r>
            <w:r w:rsidR="00FB3FCB" w:rsidRPr="00FB3FCB">
              <w:rPr>
                <w:rFonts w:ascii="Calibri" w:eastAsia="Times New Roman" w:hAnsi="Calibri" w:cs="Times New Roman"/>
              </w:rPr>
              <w:t>szt</w:t>
            </w:r>
          </w:p>
        </w:tc>
        <w:tc>
          <w:tcPr>
            <w:tcW w:w="138" w:type="pct"/>
            <w:gridSpan w:val="2"/>
            <w:shd w:val="clear" w:color="auto" w:fill="auto"/>
            <w:vAlign w:val="center"/>
          </w:tcPr>
          <w:p w:rsidR="00FB3FCB" w:rsidRPr="00FB3FCB" w:rsidRDefault="000B6143"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58,33</w:t>
            </w:r>
          </w:p>
        </w:tc>
        <w:tc>
          <w:tcPr>
            <w:tcW w:w="243" w:type="pct"/>
            <w:gridSpan w:val="3"/>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1 570 000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300 000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FB3FCB" w:rsidRPr="00FB3FCB" w:rsidRDefault="00C3342A"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28</w:t>
            </w:r>
            <w:r w:rsidR="00FB3FCB" w:rsidRPr="00FB3FCB">
              <w:rPr>
                <w:rFonts w:ascii="Calibri" w:eastAsia="Times New Roman" w:hAnsi="Calibri" w:cs="Times New Roman"/>
              </w:rPr>
              <w:t xml:space="preserve"> szt.</w:t>
            </w:r>
          </w:p>
        </w:tc>
        <w:tc>
          <w:tcPr>
            <w:tcW w:w="18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1 870 000</w:t>
            </w:r>
          </w:p>
          <w:p w:rsidR="00FB3FCB" w:rsidRPr="00FB3FCB" w:rsidRDefault="00FB3FCB" w:rsidP="00485250">
            <w:pPr>
              <w:suppressAutoHyphens/>
              <w:spacing w:after="0" w:line="240" w:lineRule="auto"/>
              <w:jc w:val="center"/>
              <w:rPr>
                <w:rFonts w:ascii="Calibri" w:eastAsia="Times New Roman" w:hAnsi="Calibri" w:cs="Times New Roman"/>
                <w:color w:val="FF0000"/>
              </w:rPr>
            </w:pPr>
          </w:p>
        </w:tc>
        <w:tc>
          <w:tcPr>
            <w:tcW w:w="181" w:type="pct"/>
            <w:vMerge w:val="restar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Height w:val="568"/>
        </w:trPr>
        <w:tc>
          <w:tcPr>
            <w:tcW w:w="251" w:type="pct"/>
            <w:vMerge w:val="restart"/>
            <w:shd w:val="clear" w:color="auto" w:fill="FFD5B9"/>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1.1.2</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Rozwój infrastruktury turystycznej</w:t>
            </w:r>
          </w:p>
        </w:tc>
        <w:tc>
          <w:tcPr>
            <w:tcW w:w="322" w:type="pct"/>
            <w:gridSpan w:val="2"/>
            <w:shd w:val="clear" w:color="auto" w:fill="auto"/>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utworzonych lub zmodernizowanych tras turystycznych</w:t>
            </w:r>
          </w:p>
        </w:tc>
        <w:tc>
          <w:tcPr>
            <w:tcW w:w="145"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8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181" w:type="pct"/>
            <w:vMerge/>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shd w:val="clear" w:color="auto" w:fill="FFD5B9"/>
          </w:tcPr>
          <w:p w:rsidR="00FB3FCB" w:rsidRPr="00FB3FCB" w:rsidRDefault="00FB3FCB" w:rsidP="00485250">
            <w:pPr>
              <w:suppressAutoHyphens/>
              <w:spacing w:after="0" w:line="240" w:lineRule="auto"/>
              <w:rPr>
                <w:rFonts w:ascii="Calibri" w:eastAsia="Times New Roman" w:hAnsi="Calibri" w:cs="Times New Roman"/>
              </w:rPr>
            </w:pPr>
          </w:p>
        </w:tc>
        <w:tc>
          <w:tcPr>
            <w:tcW w:w="322" w:type="pct"/>
            <w:gridSpan w:val="2"/>
            <w:shd w:val="clear" w:color="auto" w:fill="auto"/>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utworzonych, przebudowanych obiektów </w:t>
            </w:r>
            <w:r w:rsidRPr="00FB3FCB">
              <w:rPr>
                <w:rFonts w:ascii="Calibri" w:eastAsia="Times New Roman" w:hAnsi="Calibri" w:cs="Times New Roman"/>
              </w:rPr>
              <w:lastRenderedPageBreak/>
              <w:t>infrastruktury turystycznej</w:t>
            </w:r>
          </w:p>
        </w:tc>
        <w:tc>
          <w:tcPr>
            <w:tcW w:w="145"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lastRenderedPageBreak/>
              <w:t xml:space="preserve">6 szt. </w:t>
            </w:r>
          </w:p>
        </w:tc>
        <w:tc>
          <w:tcPr>
            <w:tcW w:w="138" w:type="pct"/>
            <w:gridSpan w:val="2"/>
            <w:shd w:val="clear" w:color="auto" w:fill="auto"/>
            <w:vAlign w:val="center"/>
          </w:tcPr>
          <w:p w:rsidR="00FB3FCB" w:rsidRPr="00A23C9D"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50</w:t>
            </w:r>
          </w:p>
        </w:tc>
        <w:tc>
          <w:tcPr>
            <w:tcW w:w="243" w:type="pct"/>
            <w:gridSpan w:val="3"/>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680 000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180 000 </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12</w:t>
            </w:r>
            <w:r w:rsidRPr="00FB3FCB">
              <w:rPr>
                <w:rFonts w:ascii="Calibri" w:eastAsia="Times New Roman" w:hAnsi="Calibri" w:cs="Times New Roman"/>
                <w:color w:val="FF0000"/>
              </w:rPr>
              <w:t xml:space="preserve"> </w:t>
            </w:r>
            <w:r w:rsidRPr="00FB3FCB">
              <w:rPr>
                <w:rFonts w:ascii="Calibri" w:eastAsia="Times New Roman" w:hAnsi="Calibri" w:cs="Times New Roman"/>
              </w:rPr>
              <w:t>szt.</w:t>
            </w:r>
          </w:p>
        </w:tc>
        <w:tc>
          <w:tcPr>
            <w:tcW w:w="18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860 000</w:t>
            </w:r>
          </w:p>
        </w:tc>
        <w:tc>
          <w:tcPr>
            <w:tcW w:w="181" w:type="pct"/>
            <w:vMerge/>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val="restart"/>
            <w:shd w:val="clear" w:color="auto" w:fill="FFD5B9"/>
          </w:tcPr>
          <w:p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1.1.3</w:t>
            </w:r>
          </w:p>
          <w:p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Działania promujące region, markę regionu oraz produkty lokalne i turystyczne </w:t>
            </w:r>
          </w:p>
          <w:p w:rsidR="000B7DD7" w:rsidRDefault="000B7DD7" w:rsidP="00485250">
            <w:pPr>
              <w:suppressAutoHyphens/>
              <w:spacing w:after="0" w:line="240" w:lineRule="auto"/>
              <w:rPr>
                <w:rFonts w:ascii="Calibri" w:eastAsia="Times New Roman" w:hAnsi="Calibri" w:cs="Times New Roman"/>
              </w:rPr>
            </w:pPr>
          </w:p>
          <w:p w:rsidR="000B7DD7" w:rsidRPr="00FB3FCB" w:rsidRDefault="000B7DD7" w:rsidP="000F5DAD">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wyeksponowanych atrakcji turystycznych/ obiektów </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8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shd w:val="clear" w:color="auto" w:fill="FFD5B9"/>
          </w:tcPr>
          <w:p w:rsidR="000B7DD7" w:rsidRPr="00FB3FCB" w:rsidRDefault="000B7DD7" w:rsidP="000F5DAD">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rodzajów promocji</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4 rodzaje</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50 000</w:t>
            </w:r>
          </w:p>
        </w:tc>
        <w:tc>
          <w:tcPr>
            <w:tcW w:w="14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rodzaje</w:t>
            </w:r>
          </w:p>
        </w:tc>
        <w:tc>
          <w:tcPr>
            <w:tcW w:w="18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50 000</w:t>
            </w:r>
          </w:p>
        </w:tc>
        <w:tc>
          <w:tcPr>
            <w:tcW w:w="181"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F5DAD">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partnerskich w ramach projektu międzynarodowego</w:t>
            </w:r>
          </w:p>
          <w:p w:rsidR="000B7DD7" w:rsidRPr="00FB3FCB" w:rsidRDefault="000B7DD7" w:rsidP="008A6451">
            <w:pPr>
              <w:suppressAutoHyphens/>
              <w:spacing w:after="0" w:line="240" w:lineRule="auto"/>
              <w:rPr>
                <w:rFonts w:ascii="Calibri" w:eastAsia="Times New Roman" w:hAnsi="Calibri" w:cs="Times New Roman"/>
              </w:rPr>
            </w:pP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38" w:type="pct"/>
            <w:gridSpan w:val="2"/>
            <w:vMerge w:val="restart"/>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100</w:t>
            </w:r>
          </w:p>
        </w:tc>
        <w:tc>
          <w:tcPr>
            <w:tcW w:w="243" w:type="pct"/>
            <w:gridSpan w:val="3"/>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w:t>
            </w:r>
            <w:r>
              <w:rPr>
                <w:rFonts w:ascii="Calibri" w:eastAsia="Times New Roman" w:hAnsi="Calibri" w:cs="Times New Roman"/>
              </w:rPr>
              <w:t> </w:t>
            </w:r>
            <w:r w:rsidRPr="00FB3FCB">
              <w:rPr>
                <w:rFonts w:ascii="Calibri" w:eastAsia="Times New Roman" w:hAnsi="Calibri" w:cs="Times New Roman"/>
              </w:rPr>
              <w:t>000</w:t>
            </w:r>
          </w:p>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90"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160 000</w:t>
            </w:r>
          </w:p>
        </w:tc>
        <w:tc>
          <w:tcPr>
            <w:tcW w:w="181"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restart"/>
            <w:vAlign w:val="center"/>
          </w:tcPr>
          <w:p w:rsidR="000B7DD7" w:rsidRPr="00FB3FCB" w:rsidRDefault="000B7DD7" w:rsidP="008A6451">
            <w:pPr>
              <w:suppressAutoHyphens/>
              <w:spacing w:after="0" w:line="240" w:lineRule="auto"/>
              <w:jc w:val="center"/>
              <w:rPr>
                <w:rFonts w:ascii="Calibri" w:eastAsia="Times New Roman" w:hAnsi="Calibri" w:cs="Times New Roman"/>
              </w:rPr>
            </w:pPr>
            <w:r>
              <w:rPr>
                <w:rFonts w:ascii="Calibri" w:eastAsia="Times New Roman" w:hAnsi="Calibri" w:cs="Times New Roman"/>
              </w:rPr>
              <w:t>Projekt współpracy międzynarodowy</w:t>
            </w: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F5DAD">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w ramach projektu międzynarodowego</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38" w:type="pct"/>
            <w:gridSpan w:val="2"/>
            <w:vMerge/>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86"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val="restart"/>
            <w:shd w:val="clear" w:color="auto" w:fill="auto"/>
            <w:vAlign w:val="center"/>
          </w:tcPr>
          <w:p w:rsidR="000B7DD7" w:rsidRPr="00B56BF0" w:rsidRDefault="000B7DD7" w:rsidP="000F5DAD">
            <w:r>
              <w:t>PROW</w:t>
            </w:r>
          </w:p>
        </w:tc>
        <w:tc>
          <w:tcPr>
            <w:tcW w:w="229" w:type="pct"/>
            <w:vMerge/>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F5DAD">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wizyt studyjnych u partne</w:t>
            </w:r>
            <w:r w:rsidR="00712429">
              <w:rPr>
                <w:rFonts w:ascii="Calibri" w:eastAsia="Times New Roman" w:hAnsi="Calibri" w:cs="Times New Roman"/>
              </w:rPr>
              <w:t>rów</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38" w:type="pct"/>
            <w:gridSpan w:val="2"/>
            <w:vMerge/>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F5DAD">
            <w:pPr>
              <w:rPr>
                <w:rFonts w:ascii="Calibri" w:eastAsia="Times New Roman" w:hAnsi="Calibri" w:cs="Times New Roman"/>
              </w:rPr>
            </w:pPr>
          </w:p>
        </w:tc>
        <w:tc>
          <w:tcPr>
            <w:tcW w:w="229" w:type="pct"/>
            <w:vMerge/>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F5DAD">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pn. Marka Lokalna</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val="restart"/>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243" w:type="pct"/>
            <w:gridSpan w:val="3"/>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90"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1" w:type="pct"/>
            <w:vMerge/>
            <w:shd w:val="clear" w:color="auto" w:fill="auto"/>
            <w:vAlign w:val="center"/>
          </w:tcPr>
          <w:p w:rsidR="000B7DD7" w:rsidRPr="00FB3FCB" w:rsidRDefault="000B7DD7" w:rsidP="000F5DAD">
            <w:pPr>
              <w:rPr>
                <w:rFonts w:ascii="Calibri" w:eastAsia="Times New Roman" w:hAnsi="Calibri" w:cs="Times New Roman"/>
              </w:rPr>
            </w:pPr>
          </w:p>
        </w:tc>
        <w:tc>
          <w:tcPr>
            <w:tcW w:w="229" w:type="pct"/>
            <w:vMerge w:val="restart"/>
            <w:vAlign w:val="center"/>
          </w:tcPr>
          <w:p w:rsidR="000B7DD7" w:rsidRPr="008A6451"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Projekt </w:t>
            </w:r>
            <w:r w:rsidRPr="008A6451">
              <w:rPr>
                <w:rFonts w:ascii="Calibri" w:eastAsia="Times New Roman" w:hAnsi="Calibri" w:cs="Times New Roman"/>
              </w:rPr>
              <w:t xml:space="preserve">współpracy zaplanowano do realizacji po 2018r. </w:t>
            </w:r>
          </w:p>
          <w:p w:rsidR="000B7DD7" w:rsidRPr="00FB3FCB" w:rsidRDefault="000B7DD7" w:rsidP="000B7DD7">
            <w:pPr>
              <w:suppressAutoHyphens/>
              <w:spacing w:after="0" w:line="240" w:lineRule="auto"/>
              <w:jc w:val="center"/>
              <w:rPr>
                <w:rFonts w:ascii="Calibri" w:eastAsia="Times New Roman" w:hAnsi="Calibri" w:cs="Times New Roman"/>
              </w:rPr>
            </w:pPr>
            <w:r w:rsidRPr="008A6451">
              <w:rPr>
                <w:rFonts w:ascii="Calibri" w:eastAsia="Times New Roman" w:hAnsi="Calibri" w:cs="Times New Roman"/>
              </w:rPr>
              <w:t xml:space="preserve">Nie </w:t>
            </w:r>
            <w:r w:rsidRPr="008A6451">
              <w:rPr>
                <w:rFonts w:ascii="Calibri" w:eastAsia="Times New Roman" w:hAnsi="Calibri" w:cs="Times New Roman"/>
              </w:rPr>
              <w:lastRenderedPageBreak/>
              <w:t>wprowadzono wartości kwotowych po 2018r.gdyż zgodnie z regulaminem środki na projekty współpracy można zaplanować tylko na poziomie 2% do 2018r</w:t>
            </w: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F5DAD">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 xml:space="preserve">Liczba szkoleń dot. metod pracy z </w:t>
            </w:r>
            <w:r>
              <w:rPr>
                <w:rFonts w:ascii="Calibri" w:eastAsia="Times New Roman" w:hAnsi="Calibri" w:cs="Times New Roman"/>
              </w:rPr>
              <w:lastRenderedPageBreak/>
              <w:t>potencjalnymi uczestnikami marki</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lastRenderedPageBreak/>
              <w:t>0</w:t>
            </w:r>
          </w:p>
        </w:tc>
        <w:tc>
          <w:tcPr>
            <w:tcW w:w="138" w:type="pct"/>
            <w:gridSpan w:val="2"/>
            <w:vMerge/>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F5DAD">
            <w:pPr>
              <w:rPr>
                <w:rFonts w:ascii="Calibri" w:eastAsia="Times New Roman" w:hAnsi="Calibri" w:cs="Times New Roman"/>
              </w:rPr>
            </w:pPr>
          </w:p>
        </w:tc>
        <w:tc>
          <w:tcPr>
            <w:tcW w:w="229" w:type="pct"/>
            <w:vMerge/>
            <w:vAlign w:val="center"/>
          </w:tcPr>
          <w:p w:rsidR="000B7DD7" w:rsidRDefault="000B7DD7" w:rsidP="00B56BF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szkoleń/spotkań dot. marki</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dot. wymiany doświadczeń</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B56BF0" w:rsidRDefault="000B7DD7" w:rsidP="000B7DD7"/>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Opracowanie strategii wprowadzania na rynek marki lokalnej</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wypracowanych marek lokalnych</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i promocji</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wizyt studyjnych</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Powstanie szlaku kulinarnego Koszyk Dolnośląskich Smaków</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val="restart"/>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243" w:type="pct"/>
            <w:gridSpan w:val="3"/>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64" w:type="pct"/>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86"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 xml:space="preserve">Kampania promocyjna kulinarnego szlaku Koszyk Dolnośląskich </w:t>
            </w:r>
            <w:r>
              <w:rPr>
                <w:rFonts w:ascii="Calibri" w:eastAsia="Times New Roman" w:hAnsi="Calibri" w:cs="Times New Roman"/>
              </w:rPr>
              <w:lastRenderedPageBreak/>
              <w:t>Smaków</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lastRenderedPageBreak/>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kampania</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kampania</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val="restart"/>
            <w:shd w:val="clear" w:color="auto" w:fill="FFD5B9"/>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1.1.4</w:t>
            </w: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Zachowanie dziedzictwa kulturowego i przyrodniczego</w:t>
            </w: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obiektów zabytkowych poddanych remontom, konserwacji, renowacji</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szt.</w:t>
            </w:r>
          </w:p>
        </w:tc>
        <w:tc>
          <w:tcPr>
            <w:tcW w:w="138"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w:t>
            </w:r>
            <w:r w:rsidRPr="00FB3FCB">
              <w:rPr>
                <w:rFonts w:ascii="Calibri" w:eastAsia="Times New Roman" w:hAnsi="Calibri" w:cs="Times New Roman"/>
              </w:rPr>
              <w:t>5</w:t>
            </w:r>
          </w:p>
        </w:tc>
        <w:tc>
          <w:tcPr>
            <w:tcW w:w="243" w:type="pct"/>
            <w:gridSpan w:val="3"/>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400 000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Height w:val="618"/>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prezentacji produktów lokalnych i dziedzictwa historycznego</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odtworzenia i rewitalizacji krajobrazu kulturowego wsi</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9"/>
          <w:wAfter w:w="1587" w:type="pct"/>
        </w:trPr>
        <w:tc>
          <w:tcPr>
            <w:tcW w:w="574" w:type="pct"/>
            <w:gridSpan w:val="3"/>
            <w:shd w:val="clear" w:color="auto" w:fill="FFFFCC"/>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1.1</w:t>
            </w:r>
          </w:p>
        </w:tc>
        <w:tc>
          <w:tcPr>
            <w:tcW w:w="283" w:type="pct"/>
            <w:gridSpan w:val="3"/>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43" w:type="pct"/>
            <w:gridSpan w:val="3"/>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2 710 000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1 150 000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190"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3 860 000</w:t>
            </w:r>
          </w:p>
        </w:tc>
        <w:tc>
          <w:tcPr>
            <w:tcW w:w="4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trHeight w:val="199"/>
        </w:trPr>
        <w:tc>
          <w:tcPr>
            <w:tcW w:w="2855" w:type="pct"/>
            <w:gridSpan w:val="20"/>
            <w:shd w:val="clear" w:color="auto" w:fill="DAEEF3"/>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b/>
              </w:rPr>
              <w:t xml:space="preserve">Cel szczegółowy 1.2. Aktywna, zintegrowana i świadoma ekologicznie społeczność lokalna </w:t>
            </w:r>
          </w:p>
        </w:tc>
        <w:tc>
          <w:tcPr>
            <w:tcW w:w="186" w:type="pct"/>
          </w:tcPr>
          <w:p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tcPr>
          <w:p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00"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2401"/>
        </w:trPr>
        <w:tc>
          <w:tcPr>
            <w:tcW w:w="251" w:type="pct"/>
            <w:vMerge w:val="restart"/>
            <w:shd w:val="clear" w:color="auto" w:fill="DAEEF3"/>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1.2.1</w:t>
            </w:r>
          </w:p>
          <w:p w:rsidR="000B7DD7"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Działania rozwijające potencjał społeczności lokalnych i organizacji </w:t>
            </w:r>
            <w:r w:rsidRPr="00FB3FCB">
              <w:rPr>
                <w:rFonts w:ascii="Calibri" w:eastAsia="Times New Roman" w:hAnsi="Calibri" w:cs="Times New Roman"/>
              </w:rPr>
              <w:lastRenderedPageBreak/>
              <w:t>oraz edukacja przyrodnicza i klimatyczna</w:t>
            </w: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DE6577" w:rsidRDefault="000B7DD7" w:rsidP="00DE6577">
            <w:pPr>
              <w:suppressAutoHyphens/>
              <w:spacing w:after="0" w:line="240" w:lineRule="auto"/>
              <w:rPr>
                <w:rFonts w:ascii="Calibri" w:eastAsia="Times New Roman" w:hAnsi="Calibri" w:cs="Times New Roman"/>
              </w:rPr>
            </w:pPr>
            <w:r w:rsidRPr="00DE6577">
              <w:rPr>
                <w:rFonts w:ascii="Calibri" w:eastAsia="Times New Roman" w:hAnsi="Calibri" w:cs="Times New Roman"/>
              </w:rPr>
              <w:lastRenderedPageBreak/>
              <w:t xml:space="preserve">Liczba </w:t>
            </w:r>
            <w:r w:rsidR="00DE6577">
              <w:rPr>
                <w:rFonts w:ascii="Calibri" w:eastAsia="Times New Roman" w:hAnsi="Calibri" w:cs="Times New Roman"/>
              </w:rPr>
              <w:t>powierzonych grantów</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szt.</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xml:space="preserve">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48</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30</w:t>
            </w:r>
            <w:r w:rsidRPr="00FB3FCB">
              <w:rPr>
                <w:rFonts w:ascii="Calibri" w:eastAsia="Times New Roman" w:hAnsi="Calibri" w:cs="Times New Roman"/>
              </w:rPr>
              <w:t>0 000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rsidR="000B7DD7" w:rsidRDefault="000B7DD7" w:rsidP="000B7DD7">
            <w:pPr>
              <w:suppressAutoHyphens/>
              <w:spacing w:after="0" w:line="240" w:lineRule="auto"/>
              <w:jc w:val="center"/>
              <w:rPr>
                <w:rFonts w:ascii="Calibri" w:eastAsia="Times New Roman" w:hAnsi="Calibri" w:cs="Times New Roman"/>
              </w:rPr>
            </w:pPr>
          </w:p>
          <w:p w:rsidR="000B7DD7" w:rsidRDefault="000B7DD7" w:rsidP="000B7DD7">
            <w:pPr>
              <w:suppressAutoHyphens/>
              <w:spacing w:after="0" w:line="240" w:lineRule="auto"/>
              <w:jc w:val="center"/>
              <w:rPr>
                <w:rFonts w:ascii="Calibri" w:eastAsia="Times New Roman" w:hAnsi="Calibri" w:cs="Times New Roman"/>
              </w:rPr>
            </w:pPr>
          </w:p>
          <w:p w:rsidR="000B7DD7" w:rsidRDefault="000B7DD7" w:rsidP="000B7DD7">
            <w:pPr>
              <w:suppressAutoHyphens/>
              <w:spacing w:after="0" w:line="240" w:lineRule="auto"/>
              <w:jc w:val="center"/>
              <w:rPr>
                <w:rFonts w:ascii="Calibri" w:eastAsia="Times New Roman" w:hAnsi="Calibri" w:cs="Times New Roman"/>
              </w:rPr>
            </w:pP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Height w:val="2250"/>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vMerge w:val="restart"/>
            <w:shd w:val="clear" w:color="auto" w:fill="DAEEF3"/>
          </w:tcPr>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Pr="003A47E7"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Przedsięwzięcie 1.2.2</w:t>
            </w:r>
          </w:p>
          <w:p w:rsidR="000B7DD7" w:rsidRPr="00485250"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Funkcjonowanie LGD oraz włączenie mieszkańców we wdrażanie LSR</w:t>
            </w:r>
          </w:p>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osób/podmiotów, którym udzielono indywidualnego doradztwa</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osób</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val="restart"/>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25 000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250 osób</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90</w:t>
            </w:r>
          </w:p>
        </w:tc>
        <w:tc>
          <w:tcPr>
            <w:tcW w:w="185" w:type="pct"/>
            <w:gridSpan w:val="2"/>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500</w:t>
            </w:r>
          </w:p>
        </w:tc>
        <w:tc>
          <w:tcPr>
            <w:tcW w:w="186"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65 000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PROW</w:t>
            </w:r>
          </w:p>
        </w:tc>
        <w:tc>
          <w:tcPr>
            <w:tcW w:w="229" w:type="pct"/>
            <w:vMerge w:val="restart"/>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Koszty aktywizacji</w:t>
            </w:r>
          </w:p>
        </w:tc>
      </w:tr>
      <w:tr w:rsidR="000B7DD7" w:rsidRPr="00FB3FCB" w:rsidTr="000B7DD7">
        <w:trPr>
          <w:gridAfter w:val="12"/>
          <w:wAfter w:w="2145" w:type="pct"/>
          <w:trHeight w:val="572"/>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informacyjno-</w:t>
            </w:r>
            <w:r w:rsidRPr="00FB3FCB">
              <w:rPr>
                <w:rFonts w:ascii="Calibri" w:eastAsia="Times New Roman" w:hAnsi="Calibri" w:cs="Times New Roman"/>
              </w:rPr>
              <w:t xml:space="preserve">konsultacyjnych LGD z mieszkańcami </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 sztuk</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37,5</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 sztuk</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75</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sztuk</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wydarzeń promocyjnych, na których promowano działalność LGD i obszar LSR</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70</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6C3AED"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ogłoszeń w</w:t>
            </w:r>
            <w:r w:rsidRPr="006C3AED">
              <w:rPr>
                <w:rFonts w:ascii="Calibri" w:eastAsia="Times New Roman" w:hAnsi="Calibri" w:cs="Times New Roman"/>
                <w:strike/>
              </w:rPr>
              <w:t xml:space="preserve"> </w:t>
            </w:r>
            <w:r w:rsidRPr="006C3AED">
              <w:rPr>
                <w:rFonts w:ascii="Calibri" w:eastAsia="Times New Roman" w:hAnsi="Calibri" w:cs="Times New Roman"/>
              </w:rPr>
              <w:t>lokalnych mediach</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sztuk</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 sztuk</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73,33</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2821"/>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176C61"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rodzajów wydanych materiałów informacyjno-promocyjnych m.in. (plakaty, Głos Leadera, biuletyn, broszura)</w:t>
            </w:r>
          </w:p>
        </w:tc>
        <w:tc>
          <w:tcPr>
            <w:tcW w:w="145"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strike/>
              </w:rPr>
            </w:pPr>
            <w:r w:rsidRPr="006C3AED">
              <w:rPr>
                <w:rFonts w:ascii="Calibri" w:eastAsia="Times New Roman" w:hAnsi="Calibri" w:cs="Times New Roman"/>
              </w:rPr>
              <w:t xml:space="preserve">7 </w:t>
            </w:r>
          </w:p>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 xml:space="preserve">wydań </w:t>
            </w:r>
          </w:p>
        </w:tc>
        <w:tc>
          <w:tcPr>
            <w:tcW w:w="196" w:type="pct"/>
            <w:gridSpan w:val="4"/>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C40646">
              <w:rPr>
                <w:rFonts w:eastAsia="Times New Roman" w:cs="Times New Roman"/>
              </w:rPr>
              <w:t>36,84</w:t>
            </w:r>
          </w:p>
        </w:tc>
        <w:tc>
          <w:tcPr>
            <w:tcW w:w="185" w:type="pct"/>
            <w:vMerge/>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 wydań</w:t>
            </w:r>
          </w:p>
        </w:tc>
        <w:tc>
          <w:tcPr>
            <w:tcW w:w="164"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73,68</w:t>
            </w:r>
          </w:p>
        </w:tc>
        <w:tc>
          <w:tcPr>
            <w:tcW w:w="185" w:type="pct"/>
            <w:gridSpan w:val="2"/>
            <w:vMerge/>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5 wydań</w:t>
            </w:r>
          </w:p>
        </w:tc>
        <w:tc>
          <w:tcPr>
            <w:tcW w:w="164"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19</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miesięcy funkcjonowania biura w tym: zatrudnienie pracowników oraz usługi i zadania związane z pracą biura i realizacją LSR</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32 miesiące</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37,37</w:t>
            </w:r>
          </w:p>
        </w:tc>
        <w:tc>
          <w:tcPr>
            <w:tcW w:w="185"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661 400,00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36 miesięcy</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79,40</w:t>
            </w:r>
          </w:p>
        </w:tc>
        <w:tc>
          <w:tcPr>
            <w:tcW w:w="185" w:type="pct"/>
            <w:gridSpan w:val="2"/>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747 200,00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18 miesięcy</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376 400,00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86</w:t>
            </w:r>
          </w:p>
        </w:tc>
        <w:tc>
          <w:tcPr>
            <w:tcW w:w="186"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1 785 000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Koszty bieżące</w:t>
            </w:r>
          </w:p>
        </w:tc>
      </w:tr>
      <w:tr w:rsidR="000B7DD7" w:rsidRPr="00FB3FCB" w:rsidTr="000B7DD7">
        <w:trPr>
          <w:gridAfter w:val="12"/>
          <w:wAfter w:w="2145" w:type="pct"/>
          <w:trHeight w:val="572"/>
        </w:trPr>
        <w:tc>
          <w:tcPr>
            <w:tcW w:w="251" w:type="pct"/>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osobodni szkoleń dla pracowników LGD</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 osobodni</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 osobodni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90</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osobodni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strike/>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osobodni szkoleń dla organów LGD </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osobodni</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 osobodni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90</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 osobodni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400</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281"/>
        </w:trPr>
        <w:tc>
          <w:tcPr>
            <w:tcW w:w="574" w:type="pct"/>
            <w:gridSpan w:val="3"/>
            <w:shd w:val="clear" w:color="auto" w:fill="DAEEF3"/>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1.2</w:t>
            </w:r>
          </w:p>
        </w:tc>
        <w:tc>
          <w:tcPr>
            <w:tcW w:w="342" w:type="pct"/>
            <w:gridSpan w:val="5"/>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836 400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917 200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190"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2 150 000</w:t>
            </w:r>
          </w:p>
        </w:tc>
        <w:tc>
          <w:tcPr>
            <w:tcW w:w="4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rsidTr="000B7DD7">
        <w:trPr>
          <w:gridAfter w:val="12"/>
          <w:wAfter w:w="2145" w:type="pct"/>
          <w:trHeight w:val="281"/>
        </w:trPr>
        <w:tc>
          <w:tcPr>
            <w:tcW w:w="2855" w:type="pct"/>
            <w:gridSpan w:val="20"/>
            <w:shd w:val="clear" w:color="auto" w:fill="DAEEF3"/>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Cel szczegółowy 1.3. Aktywne, innowacyjne podmioty gospodarcze tworzące miejsca pracy, dbające o ochronę środowiska i łagodzenie zmian klimatycznych</w:t>
            </w:r>
          </w:p>
          <w:p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rsidTr="000B7DD7">
        <w:trPr>
          <w:gridAfter w:val="12"/>
          <w:wAfter w:w="2145" w:type="pct"/>
          <w:trHeight w:val="1094"/>
        </w:trPr>
        <w:tc>
          <w:tcPr>
            <w:tcW w:w="251" w:type="pct"/>
            <w:shd w:val="clear" w:color="auto" w:fill="D6E3BC"/>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1.3.1</w:t>
            </w: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Wspieranie tworzenia </w:t>
            </w:r>
            <w:r w:rsidRPr="00FB3FCB">
              <w:rPr>
                <w:rFonts w:ascii="Calibri" w:eastAsia="Times New Roman" w:hAnsi="Calibri" w:cs="Times New Roman"/>
              </w:rPr>
              <w:lastRenderedPageBreak/>
              <w:t>nowych podmiotów gospodarczych</w:t>
            </w: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w tym przez osoby  z grupy </w:t>
            </w:r>
            <w:proofErr w:type="spellStart"/>
            <w:r w:rsidRPr="00FB3FCB">
              <w:rPr>
                <w:rFonts w:ascii="Calibri" w:eastAsia="Times New Roman" w:hAnsi="Calibri" w:cs="Times New Roman"/>
              </w:rPr>
              <w:t>defaworyzowanej</w:t>
            </w:r>
            <w:proofErr w:type="spellEnd"/>
            <w:r w:rsidRPr="00FB3FCB">
              <w:rPr>
                <w:rFonts w:ascii="Calibri" w:eastAsia="Times New Roman" w:hAnsi="Calibri" w:cs="Times New Roman"/>
              </w:rPr>
              <w:t xml:space="preserve"> określonej w LSR </w:t>
            </w:r>
          </w:p>
        </w:tc>
        <w:tc>
          <w:tcPr>
            <w:tcW w:w="322" w:type="pct"/>
            <w:gridSpan w:val="2"/>
            <w:shd w:val="clear" w:color="auto" w:fill="auto"/>
          </w:tcPr>
          <w:p w:rsidR="000B7DD7" w:rsidRPr="00176C61"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lastRenderedPageBreak/>
              <w:t xml:space="preserve">Liczba nowo utworzonych firm w tym przez osoby z grupy </w:t>
            </w:r>
            <w:proofErr w:type="spellStart"/>
            <w:r>
              <w:rPr>
                <w:rFonts w:ascii="Calibri" w:eastAsia="Times New Roman" w:hAnsi="Calibri" w:cs="Times New Roman"/>
              </w:rPr>
              <w:lastRenderedPageBreak/>
              <w:t>defowaryzowanej</w:t>
            </w:r>
            <w:proofErr w:type="spellEnd"/>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lastRenderedPageBreak/>
              <w:t>12</w:t>
            </w:r>
            <w:r w:rsidRPr="00FB3FCB">
              <w:rPr>
                <w:rFonts w:ascii="Calibri" w:eastAsia="Times New Roman" w:hAnsi="Calibri" w:cs="Times New Roman"/>
              </w:rPr>
              <w:t xml:space="preserve"> szt.</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50</w:t>
            </w: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12</w:t>
            </w:r>
          </w:p>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B3FCB">
              <w:rPr>
                <w:rFonts w:ascii="Calibri" w:eastAsia="Times New Roman" w:hAnsi="Calibri" w:cs="Times New Roman"/>
              </w:rPr>
              <w:t xml:space="preserve">szt. </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1 8</w:t>
            </w:r>
            <w:r w:rsidRPr="00FB3FCB">
              <w:rPr>
                <w:rFonts w:ascii="Calibri" w:eastAsia="Times New Roman" w:hAnsi="Calibri" w:cs="Times New Roman"/>
              </w:rPr>
              <w:t>00 000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p w:rsidR="000B7DD7" w:rsidRPr="00FB3FCB" w:rsidRDefault="000B7DD7" w:rsidP="000B7DD7">
            <w:pPr>
              <w:suppressAutoHyphens/>
              <w:spacing w:after="0" w:line="240" w:lineRule="auto"/>
              <w:rPr>
                <w:rFonts w:ascii="Calibri" w:eastAsia="Times New Roman" w:hAnsi="Calibri" w:cs="Times New Roman"/>
              </w:rPr>
            </w:pPr>
          </w:p>
        </w:tc>
        <w:tc>
          <w:tcPr>
            <w:tcW w:w="229" w:type="pct"/>
            <w:vMerge w:val="restart"/>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Height w:val="38"/>
        </w:trPr>
        <w:tc>
          <w:tcPr>
            <w:tcW w:w="251" w:type="pct"/>
            <w:shd w:val="clear" w:color="auto" w:fill="D6E3BC"/>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1.3.2</w:t>
            </w: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Rozwijanie podmiotów </w:t>
            </w:r>
            <w:r w:rsidRPr="006C3AED">
              <w:rPr>
                <w:rFonts w:ascii="Calibri" w:eastAsia="Times New Roman" w:hAnsi="Calibri" w:cs="Times New Roman"/>
              </w:rPr>
              <w:t>tym w</w:t>
            </w:r>
            <w:r>
              <w:rPr>
                <w:rFonts w:ascii="Calibri" w:eastAsia="Times New Roman" w:hAnsi="Calibri" w:cs="Times New Roman"/>
              </w:rPr>
              <w:t xml:space="preserve"> gospodarczych  </w:t>
            </w:r>
            <w:r w:rsidRPr="00FB3FCB">
              <w:rPr>
                <w:rFonts w:ascii="Calibri" w:eastAsia="Times New Roman" w:hAnsi="Calibri" w:cs="Times New Roman"/>
              </w:rPr>
              <w:t>w kluczowych branżach dla regionu</w:t>
            </w: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rozwiniętych przedsiębiorstw</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4szt. </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w:t>
            </w:r>
            <w:r w:rsidRPr="00FB3FCB">
              <w:rPr>
                <w:rFonts w:ascii="Calibri" w:eastAsia="Times New Roman" w:hAnsi="Calibri" w:cs="Times New Roman"/>
              </w:rPr>
              <w:t>0</w:t>
            </w: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8szt.</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2 200 000</w:t>
            </w: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108"/>
        </w:trPr>
        <w:tc>
          <w:tcPr>
            <w:tcW w:w="574" w:type="pct"/>
            <w:gridSpan w:val="3"/>
            <w:shd w:val="clear" w:color="auto" w:fill="D6E3BC"/>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1.3</w:t>
            </w:r>
          </w:p>
        </w:tc>
        <w:tc>
          <w:tcPr>
            <w:tcW w:w="342" w:type="pct"/>
            <w:gridSpan w:val="5"/>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310" w:type="pct"/>
            <w:gridSpan w:val="2"/>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310" w:type="pct"/>
            <w:gridSpan w:val="2"/>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190" w:type="pct"/>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410" w:type="pct"/>
            <w:gridSpan w:val="2"/>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rsidTr="000B7DD7">
        <w:trPr>
          <w:gridAfter w:val="12"/>
          <w:wAfter w:w="2145" w:type="pct"/>
        </w:trPr>
        <w:tc>
          <w:tcPr>
            <w:tcW w:w="574" w:type="pct"/>
            <w:gridSpan w:val="3"/>
            <w:shd w:val="clear" w:color="auto" w:fill="31849B"/>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LSR</w:t>
            </w:r>
          </w:p>
        </w:tc>
        <w:tc>
          <w:tcPr>
            <w:tcW w:w="342" w:type="pct"/>
            <w:gridSpan w:val="5"/>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5 546 400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4 067 200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190"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10 010 000</w:t>
            </w:r>
          </w:p>
        </w:tc>
        <w:tc>
          <w:tcPr>
            <w:tcW w:w="181"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Pr>
        <w:tc>
          <w:tcPr>
            <w:tcW w:w="2445" w:type="pct"/>
            <w:gridSpan w:val="18"/>
            <w:shd w:val="clear" w:color="auto" w:fill="E5B8B7"/>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Razem planowane wsparcie na przedsięwzięcia dedykowane tworzeniu i utrzymaniu miejsc pracy w ramach poddziałania Realizacja LSR PROW</w:t>
            </w:r>
          </w:p>
        </w:tc>
        <w:tc>
          <w:tcPr>
            <w:tcW w:w="410" w:type="pct"/>
            <w:gridSpan w:val="2"/>
            <w:shd w:val="clear" w:color="auto" w:fill="E5B8B7"/>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budżetu poddziałania</w:t>
            </w:r>
          </w:p>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Pr>
        <w:tc>
          <w:tcPr>
            <w:tcW w:w="2259" w:type="pct"/>
            <w:gridSpan w:val="17"/>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410"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50</w:t>
            </w:r>
          </w:p>
        </w:tc>
      </w:tr>
    </w:tbl>
    <w:p w:rsidR="00E1396F" w:rsidRPr="005B0671" w:rsidRDefault="00E1396F" w:rsidP="005B0671">
      <w:pPr>
        <w:sectPr w:rsidR="00E1396F" w:rsidRPr="005B0671" w:rsidSect="004F7D1A">
          <w:pgSz w:w="16838" w:h="11906" w:orient="landscape"/>
          <w:pgMar w:top="851" w:right="567" w:bottom="567" w:left="851" w:header="709" w:footer="709" w:gutter="0"/>
          <w:cols w:space="708"/>
          <w:docGrid w:linePitch="360"/>
        </w:sectPr>
      </w:pPr>
    </w:p>
    <w:p w:rsidR="005F5E3C" w:rsidRPr="00E87A5F" w:rsidRDefault="005F5E3C" w:rsidP="005F5E3C">
      <w:pPr>
        <w:pStyle w:val="Nagwek3"/>
        <w:rPr>
          <w:rFonts w:ascii="Times New Roman" w:hAnsi="Times New Roman" w:cs="Times New Roman"/>
        </w:rPr>
      </w:pPr>
      <w:bookmarkStart w:id="86" w:name="_Toc439184086"/>
      <w:r w:rsidRPr="00E87A5F">
        <w:rPr>
          <w:rFonts w:ascii="Times New Roman" w:hAnsi="Times New Roman" w:cs="Times New Roman"/>
        </w:rPr>
        <w:lastRenderedPageBreak/>
        <w:t>Załącznik nr 4 Budżet LSR</w:t>
      </w:r>
      <w:bookmarkEnd w:id="86"/>
    </w:p>
    <w:p w:rsidR="005F5E3C" w:rsidRPr="00E87A5F" w:rsidRDefault="005F5E3C" w:rsidP="005F5E3C">
      <w:pPr>
        <w:rPr>
          <w:rFonts w:ascii="Times New Roman" w:hAnsi="Times New Roman" w:cs="Times New Roman"/>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25</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432"/>
        <w:gridCol w:w="2623"/>
        <w:gridCol w:w="3428"/>
      </w:tblGrid>
      <w:tr w:rsidR="005F5E3C" w:rsidRPr="00E87A5F" w:rsidTr="00067FD0">
        <w:trPr>
          <w:trHeight w:val="315"/>
        </w:trPr>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rsidTr="00067FD0">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rsidTr="00067FD0">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E1396F" w:rsidRPr="00E87A5F" w:rsidTr="00067FD0">
        <w:tc>
          <w:tcPr>
            <w:tcW w:w="3046" w:type="pct"/>
          </w:tcPr>
          <w:p w:rsidR="00E1396F" w:rsidRPr="00E87A5F" w:rsidRDefault="00E1396F"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rsidR="00E1396F" w:rsidRPr="00E1396F" w:rsidRDefault="00E1396F" w:rsidP="00E1396F">
            <w:pPr>
              <w:suppressAutoHyphens/>
              <w:jc w:val="center"/>
              <w:rPr>
                <w:rFonts w:ascii="Times New Roman" w:eastAsia="Times New Roman" w:hAnsi="Times New Roman" w:cs="Times New Roman"/>
                <w:strike/>
                <w:lang w:eastAsia="ar-SA"/>
              </w:rPr>
            </w:pPr>
            <w:r w:rsidRPr="00E1396F">
              <w:rPr>
                <w:rFonts w:ascii="Times New Roman" w:eastAsia="Times New Roman" w:hAnsi="Times New Roman" w:cs="Times New Roman"/>
                <w:lang w:eastAsia="ar-SA"/>
              </w:rPr>
              <w:t>1 785 000,00</w:t>
            </w:r>
          </w:p>
        </w:tc>
        <w:tc>
          <w:tcPr>
            <w:tcW w:w="1107" w:type="pct"/>
          </w:tcPr>
          <w:p w:rsidR="00E1396F" w:rsidRPr="00E1396F" w:rsidRDefault="00E1396F" w:rsidP="00E1396F">
            <w:pPr>
              <w:suppressAutoHyphens/>
              <w:jc w:val="center"/>
              <w:rPr>
                <w:rFonts w:ascii="Times New Roman" w:eastAsia="Times New Roman" w:hAnsi="Times New Roman" w:cs="Times New Roman"/>
                <w:lang w:eastAsia="ar-SA"/>
              </w:rPr>
            </w:pPr>
            <w:r w:rsidRPr="00E1396F">
              <w:rPr>
                <w:rFonts w:ascii="Times New Roman" w:eastAsia="Times New Roman" w:hAnsi="Times New Roman" w:cs="Times New Roman"/>
                <w:lang w:eastAsia="ar-SA"/>
              </w:rPr>
              <w:t>1 785 000,00</w:t>
            </w:r>
          </w:p>
        </w:tc>
      </w:tr>
      <w:tr w:rsidR="005F5E3C" w:rsidRPr="00E87A5F" w:rsidTr="00067FD0">
        <w:tc>
          <w:tcPr>
            <w:tcW w:w="3046" w:type="pct"/>
          </w:tcPr>
          <w:p w:rsidR="005F5E3C" w:rsidRPr="00E87A5F" w:rsidRDefault="005F5E3C"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c>
          <w:tcPr>
            <w:tcW w:w="1107" w:type="pct"/>
          </w:tcPr>
          <w:p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r>
      <w:tr w:rsidR="005F5E3C" w:rsidRPr="00E87A5F" w:rsidTr="00067FD0">
        <w:tc>
          <w:tcPr>
            <w:tcW w:w="3046" w:type="pct"/>
            <w:shd w:val="solid" w:color="D9D9D9" w:themeColor="background1" w:themeShade="D9" w:fill="auto"/>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rsidR="005F5E3C" w:rsidRPr="00E87A5F" w:rsidRDefault="005F5E3C" w:rsidP="005F5E3C">
      <w:pPr>
        <w:pStyle w:val="Default"/>
        <w:rPr>
          <w:sz w:val="22"/>
          <w:szCs w:val="22"/>
        </w:rPr>
      </w:pPr>
    </w:p>
    <w:p w:rsidR="005B0671" w:rsidRDefault="005B0671" w:rsidP="005F5E3C">
      <w:pPr>
        <w:pStyle w:val="Legenda"/>
        <w:keepNext/>
        <w:jc w:val="left"/>
        <w:rPr>
          <w:rFonts w:ascii="Times New Roman" w:hAnsi="Times New Roman"/>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6518FD">
        <w:rPr>
          <w:rFonts w:ascii="Times New Roman" w:hAnsi="Times New Roman"/>
          <w:noProof/>
          <w:sz w:val="22"/>
          <w:szCs w:val="22"/>
        </w:rPr>
        <w:t>26</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2014-2020</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794"/>
        <w:gridCol w:w="2016"/>
        <w:gridCol w:w="2220"/>
        <w:gridCol w:w="4437"/>
        <w:gridCol w:w="2016"/>
      </w:tblGrid>
      <w:tr w:rsidR="005F5E3C" w:rsidRPr="00E87A5F" w:rsidTr="00067FD0">
        <w:tc>
          <w:tcPr>
            <w:tcW w:w="1548" w:type="pct"/>
          </w:tcPr>
          <w:p w:rsidR="005F5E3C" w:rsidRPr="00E87A5F" w:rsidRDefault="005F5E3C" w:rsidP="00067FD0">
            <w:pPr>
              <w:rPr>
                <w:rFonts w:ascii="Times New Roman" w:hAnsi="Times New Roman" w:cs="Times New Roman"/>
              </w:rPr>
            </w:pPr>
          </w:p>
        </w:tc>
        <w:tc>
          <w:tcPr>
            <w:tcW w:w="651"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rsidTr="00067FD0">
        <w:tc>
          <w:tcPr>
            <w:tcW w:w="1548" w:type="pct"/>
            <w:vAlign w:val="center"/>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simplePos x="0" y="0"/>
                      <wp:positionH relativeFrom="column">
                        <wp:posOffset>260985</wp:posOffset>
                      </wp:positionH>
                      <wp:positionV relativeFrom="paragraph">
                        <wp:posOffset>-1270</wp:posOffset>
                      </wp:positionV>
                      <wp:extent cx="2009140" cy="241935"/>
                      <wp:effectExtent l="0" t="0" r="29210" b="24765"/>
                      <wp:wrapNone/>
                      <wp:docPr id="1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94880C" id="Łącznik prostoliniowy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pt" to="178.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-1270</wp:posOffset>
                      </wp:positionV>
                      <wp:extent cx="2009140" cy="285750"/>
                      <wp:effectExtent l="0" t="0" r="2921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C2EB957" id="Łącznik prostoliniowy 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pt" to="18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" strokecolor="black [3213]">
                      <o:lock v:ext="edit" shapetype="f"/>
                    </v:line>
                  </w:pict>
                </mc:Fallback>
              </mc:AlternateConten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rsidTr="00067FD0">
        <w:tc>
          <w:tcPr>
            <w:tcW w:w="1548" w:type="pct"/>
            <w:vAlign w:val="center"/>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simplePos x="0" y="0"/>
                      <wp:positionH relativeFrom="column">
                        <wp:posOffset>118110</wp:posOffset>
                      </wp:positionH>
                      <wp:positionV relativeFrom="paragraph">
                        <wp:posOffset>33020</wp:posOffset>
                      </wp:positionV>
                      <wp:extent cx="923925" cy="273050"/>
                      <wp:effectExtent l="0" t="0" r="28575" b="31750"/>
                      <wp:wrapNone/>
                      <wp:docPr id="1"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2AAE32" id="Łącznik prostoliniowy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7968" behindDoc="0" locked="0" layoutInCell="1" allowOverlap="1">
                      <wp:simplePos x="0" y="0"/>
                      <wp:positionH relativeFrom="column">
                        <wp:posOffset>118110</wp:posOffset>
                      </wp:positionH>
                      <wp:positionV relativeFrom="paragraph">
                        <wp:posOffset>33020</wp:posOffset>
                      </wp:positionV>
                      <wp:extent cx="923925" cy="260350"/>
                      <wp:effectExtent l="0" t="0" r="28575" b="254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434298" id="Łącznik prostoliniowy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" strokecolor="black [3213]">
                      <o:lock v:ext="edit" shapetype="f"/>
                    </v:line>
                  </w:pict>
                </mc:Fallback>
              </mc:AlternateContent>
            </w:r>
          </w:p>
        </w:tc>
        <w:tc>
          <w:tcPr>
            <w:tcW w:w="1433"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rsidTr="00067FD0">
        <w:trPr>
          <w:trHeight w:val="64"/>
        </w:trPr>
        <w:tc>
          <w:tcPr>
            <w:tcW w:w="1548" w:type="pct"/>
            <w:shd w:val="solid" w:color="D9D9D9" w:themeColor="background1" w:themeShade="D9" w:fill="auto"/>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rsidR="005F5E3C" w:rsidRPr="00E87A5F" w:rsidRDefault="005F5E3C" w:rsidP="005F5E3C">
      <w:pPr>
        <w:pStyle w:val="Default"/>
        <w:rPr>
          <w:sz w:val="22"/>
          <w:szCs w:val="22"/>
        </w:rPr>
      </w:pPr>
    </w:p>
    <w:p w:rsidR="005F5E3C" w:rsidRPr="00E87A5F" w:rsidRDefault="005F5E3C" w:rsidP="005F5E3C">
      <w:pPr>
        <w:pStyle w:val="Nagwek3"/>
        <w:rPr>
          <w:rFonts w:ascii="Times New Roman" w:hAnsi="Times New Roman" w:cs="Times New Roman"/>
        </w:rPr>
        <w:sectPr w:rsidR="005F5E3C" w:rsidRPr="00E87A5F" w:rsidSect="0075654E">
          <w:type w:val="nextColumn"/>
          <w:pgSz w:w="16838" w:h="11906" w:orient="landscape"/>
          <w:pgMar w:top="0" w:right="567" w:bottom="567" w:left="851" w:header="709" w:footer="709" w:gutter="0"/>
          <w:cols w:space="708"/>
          <w:docGrid w:linePitch="360"/>
        </w:sectPr>
      </w:pPr>
    </w:p>
    <w:p w:rsidR="005F5E3C" w:rsidRPr="00E87A5F" w:rsidRDefault="005F5E3C" w:rsidP="005F5E3C">
      <w:pPr>
        <w:pStyle w:val="Nagwek3"/>
        <w:rPr>
          <w:rFonts w:ascii="Times New Roman" w:hAnsi="Times New Roman" w:cs="Times New Roman"/>
        </w:rPr>
      </w:pPr>
      <w:bookmarkStart w:id="87" w:name="_Toc439184087"/>
      <w:r w:rsidRPr="00E87A5F">
        <w:rPr>
          <w:rFonts w:ascii="Times New Roman" w:hAnsi="Times New Roman" w:cs="Times New Roman"/>
        </w:rPr>
        <w:lastRenderedPageBreak/>
        <w:t>Załącznik nr 5 Plan komunikacji</w:t>
      </w:r>
      <w:bookmarkEnd w:id="87"/>
    </w:p>
    <w:p w:rsidR="005F5E3C" w:rsidRPr="00E87A5F" w:rsidRDefault="005F5E3C" w:rsidP="005F5E3C">
      <w:pPr>
        <w:rPr>
          <w:rFonts w:ascii="Times New Roman" w:hAnsi="Times New Roman" w:cs="Times New Roman"/>
        </w:rPr>
      </w:pPr>
    </w:p>
    <w:p w:rsidR="005F5E3C" w:rsidRPr="00E87A5F" w:rsidRDefault="005F5E3C" w:rsidP="005F5E3C">
      <w:pPr>
        <w:spacing w:after="0" w:line="240" w:lineRule="auto"/>
        <w:contextualSpacing/>
        <w:jc w:val="both"/>
        <w:rPr>
          <w:rFonts w:ascii="Times New Roman" w:eastAsia="Times New Roman" w:hAnsi="Times New Roman" w:cs="Times New Roman"/>
        </w:rPr>
      </w:pPr>
      <w:r w:rsidRPr="00E87A5F">
        <w:rPr>
          <w:rFonts w:ascii="Times New Roman" w:eastAsia="Times New Roman" w:hAnsi="Times New Roman" w:cs="Times New Roman"/>
        </w:rPr>
        <w:t xml:space="preserve">Komunikacja w procesie tworzenia i wdrażania lokalnej strategii rozwoju jest warunkiem nieodzownym w osiąganiu założonych efektów. Podstawowym warunkiem w planowaniu skutecznej komunikacji jest jej obustronność, a więc komunikacja na linii LGD - społeczności lokalne –LGD. Takie podejście pozwala na pozyskiwanie informacji zwrotnej i służy transparentności działań LGD, co jest niezwykle ważne w budowaniu zaufania do LGD, która w swej działalności korzysta ze środków publicznych. </w:t>
      </w:r>
    </w:p>
    <w:p w:rsidR="005F5E3C" w:rsidRPr="00E87A5F" w:rsidRDefault="005F5E3C" w:rsidP="005F5E3C">
      <w:pPr>
        <w:spacing w:after="0" w:line="240" w:lineRule="auto"/>
        <w:ind w:left="360"/>
        <w:contextualSpacing/>
        <w:jc w:val="both"/>
        <w:rPr>
          <w:rFonts w:ascii="Times New Roman" w:eastAsia="Times New Roman" w:hAnsi="Times New Roman" w:cs="Times New Roman"/>
        </w:rPr>
      </w:pPr>
    </w:p>
    <w:p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Cele działań komunikacyjnych</w:t>
      </w:r>
    </w:p>
    <w:p w:rsidR="005F5E3C" w:rsidRPr="00E87A5F" w:rsidRDefault="005F5E3C" w:rsidP="005F5E3C">
      <w:pPr>
        <w:pStyle w:val="Default"/>
        <w:contextualSpacing/>
        <w:jc w:val="both"/>
        <w:rPr>
          <w:sz w:val="22"/>
          <w:szCs w:val="22"/>
        </w:rPr>
      </w:pPr>
      <w:r w:rsidRPr="00E87A5F">
        <w:rPr>
          <w:sz w:val="22"/>
          <w:szCs w:val="22"/>
        </w:rPr>
        <w:t xml:space="preserve">Celem ogólnym działań komunikacyjnych jest promowanie LSR oraz wsparcie realizacji celów określonych w LSR przez zachęcenie potencjalnych beneficjentów oraz mieszkańców obszaru LGD do korzystania ze środków z Europejskiego Funduszu Rolnego na Rzecz Rozwoju Obszarów Wiejskich. Działania informujące będą zrealizowane dzięki dostarczeniu mieszkańcom informacji niezbędnych w procesie ubiegania się o środki unijne, motywowanie projektodawców i edukowanie ich w obszarze właściwej realizacji projektów oraz upowszechnianie efektów wykorzystania środków z EFRROW na obszarze LGD. </w:t>
      </w:r>
    </w:p>
    <w:p w:rsidR="005F5E3C" w:rsidRPr="00E87A5F" w:rsidRDefault="005F5E3C" w:rsidP="005F5E3C">
      <w:pPr>
        <w:pStyle w:val="Default"/>
        <w:contextualSpacing/>
        <w:jc w:val="both"/>
        <w:rPr>
          <w:sz w:val="22"/>
          <w:szCs w:val="22"/>
        </w:rPr>
      </w:pPr>
      <w:r w:rsidRPr="00E87A5F">
        <w:rPr>
          <w:sz w:val="22"/>
          <w:szCs w:val="22"/>
        </w:rPr>
        <w:t xml:space="preserve">Szczególnego znaczenia nabiera jednak konieczność upowszechniania działań dofinansowanych przez LGD ze środków Programu Rozwoju Obszarów Wiejskich 2014-2020 i możliwości jakie grupa ta wnosi w rozwój poziomu życia mieszkańców zamieszkujących obszary wiejskie. Rozpoznawalność LGD jako podmiotu, dzięki któremu zrealizowano wiele inwestycji jest niewystarczająca.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Celem działań jest ponadto utrwalenie i pogłębienie akceptacji i przychylności mieszkańców obszaru Lokalnej Grupy Działania dla istnienia samych funduszy oraz skutków ich działania w gminach. </w:t>
      </w:r>
    </w:p>
    <w:p w:rsidR="005F5E3C" w:rsidRPr="00E87A5F" w:rsidRDefault="005F5E3C" w:rsidP="005F5E3C">
      <w:pPr>
        <w:pStyle w:val="Default"/>
        <w:contextualSpacing/>
        <w:jc w:val="both"/>
        <w:rPr>
          <w:sz w:val="22"/>
          <w:szCs w:val="22"/>
        </w:rPr>
      </w:pPr>
      <w:r w:rsidRPr="00E87A5F">
        <w:rPr>
          <w:sz w:val="22"/>
          <w:szCs w:val="22"/>
        </w:rPr>
        <w:t xml:space="preserve">Cel ogólny działań </w:t>
      </w:r>
      <w:proofErr w:type="spellStart"/>
      <w:r w:rsidRPr="00E87A5F">
        <w:rPr>
          <w:sz w:val="22"/>
          <w:szCs w:val="22"/>
        </w:rPr>
        <w:t>informacyjno</w:t>
      </w:r>
      <w:proofErr w:type="spellEnd"/>
      <w:r w:rsidRPr="00E87A5F">
        <w:rPr>
          <w:sz w:val="22"/>
          <w:szCs w:val="22"/>
        </w:rPr>
        <w:t xml:space="preserve"> – promocyjnych jest realizowany poprzez następujące cele szczegółowe:</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p>
    <w:p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informowanie i wsparcie beneficjentów w zakresie pozyskiwania środków w ramach LSR oraz w procesie realizacji projektów przez profesjonalną informację i pomoc w rozliczaniu projektów, </w:t>
      </w:r>
    </w:p>
    <w:p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budowanie pozytywnego wizerunku LSR wśród mieszkańców obszaru poprzez informowanie ich o możliwościach dofinansowania oraz o już zrealizowanych w ramach Strategii projektach i bezpośrednich korzyściach wynikających z ich realizacji, </w:t>
      </w:r>
    </w:p>
    <w:p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zwiększenie poziomu świadomości i wiedzy mieszkańców na temat korzyści z członkostwa w Unii Europejskiej oraz z możliwości jakie wnosi, dzięki napływowi Funduszy Europejskich</w:t>
      </w:r>
    </w:p>
    <w:p w:rsidR="005F5E3C" w:rsidRPr="00E87A5F" w:rsidRDefault="005F5E3C" w:rsidP="005F5E3C">
      <w:pPr>
        <w:pStyle w:val="Akapitzlist"/>
        <w:numPr>
          <w:ilvl w:val="0"/>
          <w:numId w:val="28"/>
        </w:numPr>
        <w:suppressAutoHyphens w:val="0"/>
        <w:autoSpaceDE w:val="0"/>
        <w:autoSpaceDN w:val="0"/>
        <w:adjustRightInd w:val="0"/>
        <w:spacing w:after="8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wzmocnienie pozytywnego wizerunku LGD jako obszaru efektywnie wykorzystującego szanse stwarzane przez członkostwo Polski w Unii Europejskiej, </w:t>
      </w:r>
    </w:p>
    <w:p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utrwalenie spójnego systemu identyfikacji wizualnej LGD. </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Powyższe cele zostaną osiągnięte poprzez intensywne, różnorodne i długofalowe działania informacyjno-promocyjne, których ważnym elementem będą kampanie:</w:t>
      </w:r>
    </w:p>
    <w:p w:rsidR="005F5E3C" w:rsidRPr="00E87A5F" w:rsidRDefault="005F5E3C" w:rsidP="005F5E3C">
      <w:pPr>
        <w:pStyle w:val="Akapitzlist"/>
        <w:numPr>
          <w:ilvl w:val="0"/>
          <w:numId w:val="30"/>
        </w:numPr>
        <w:suppressAutoHyphens w:val="0"/>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color w:val="000000"/>
        </w:rPr>
        <w:t>informacyjne – adresowane do konkretnych grup potencjalnych Beneficjentów, uprawnionych do korzystania ze środków Unii Europejskiej,</w:t>
      </w:r>
    </w:p>
    <w:p w:rsidR="005F5E3C" w:rsidRPr="00E87A5F" w:rsidRDefault="005F5E3C" w:rsidP="005F5E3C">
      <w:pPr>
        <w:pStyle w:val="Akapitzlist"/>
        <w:numPr>
          <w:ilvl w:val="0"/>
          <w:numId w:val="29"/>
        </w:numPr>
        <w:suppressAutoHyphens w:val="0"/>
        <w:autoSpaceDE w:val="0"/>
        <w:autoSpaceDN w:val="0"/>
        <w:adjustRightInd w:val="0"/>
        <w:spacing w:after="80" w:line="240" w:lineRule="auto"/>
        <w:contextualSpacing/>
        <w:jc w:val="both"/>
        <w:rPr>
          <w:rFonts w:ascii="Times New Roman" w:hAnsi="Times New Roman" w:cs="Times New Roman"/>
          <w:color w:val="000000"/>
        </w:rPr>
      </w:pPr>
      <w:proofErr w:type="spellStart"/>
      <w:r w:rsidRPr="00E87A5F">
        <w:rPr>
          <w:rFonts w:ascii="Times New Roman" w:hAnsi="Times New Roman" w:cs="Times New Roman"/>
          <w:color w:val="000000"/>
        </w:rPr>
        <w:t>promocyjno</w:t>
      </w:r>
      <w:proofErr w:type="spellEnd"/>
      <w:r w:rsidRPr="00E87A5F">
        <w:rPr>
          <w:rFonts w:ascii="Times New Roman" w:hAnsi="Times New Roman" w:cs="Times New Roman"/>
          <w:color w:val="000000"/>
        </w:rPr>
        <w:t xml:space="preserve"> – wizerunkowe, skierowane do mediów, lokalnej społeczności oraz dotychczasowych i potencjalnych Beneficjentów.</w:t>
      </w:r>
    </w:p>
    <w:p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Grupy docelowe i dostosowane do nich narzędzia komunikacyjne</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Grupy docelowe, do których kierowane będą poszczególne działania komunikacyjne wynikają z LSR i zapisanego tam celu ogólnego i celów szczegółowych.</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Wyróżnić należy pięć podstawowych grupy odbiorców:</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Osoby </w:t>
      </w:r>
      <w:proofErr w:type="spellStart"/>
      <w:r w:rsidRPr="00E87A5F">
        <w:rPr>
          <w:rFonts w:ascii="Times New Roman" w:eastAsia="Times New Roman" w:hAnsi="Times New Roman" w:cs="Times New Roman"/>
          <w:b/>
          <w:i/>
        </w:rPr>
        <w:t>defaworyzowane</w:t>
      </w:r>
      <w:proofErr w:type="spellEnd"/>
      <w:r w:rsidRPr="00E87A5F">
        <w:rPr>
          <w:rFonts w:ascii="Times New Roman" w:eastAsia="Times New Roman" w:hAnsi="Times New Roman" w:cs="Times New Roman"/>
          <w:b/>
          <w:i/>
        </w:rPr>
        <w:t xml:space="preserve"> ze względu na sytuację na rynku pracy</w:t>
      </w:r>
      <w:r w:rsidRPr="00E87A5F">
        <w:rPr>
          <w:rFonts w:ascii="Times New Roman" w:eastAsia="Times New Roman" w:hAnsi="Times New Roman" w:cs="Times New Roman"/>
        </w:rPr>
        <w:t xml:space="preserve"> – podejmowane działania komunikacyjne w szczególności będą nakierowane na dotarcie do osób </w:t>
      </w:r>
      <w:proofErr w:type="spellStart"/>
      <w:r w:rsidRPr="00E87A5F">
        <w:rPr>
          <w:rFonts w:ascii="Times New Roman" w:eastAsia="Times New Roman" w:hAnsi="Times New Roman" w:cs="Times New Roman"/>
        </w:rPr>
        <w:t>defaworyzowanych</w:t>
      </w:r>
      <w:proofErr w:type="spellEnd"/>
      <w:r w:rsidRPr="00E87A5F">
        <w:rPr>
          <w:rFonts w:ascii="Times New Roman" w:eastAsia="Times New Roman" w:hAnsi="Times New Roman" w:cs="Times New Roman"/>
        </w:rPr>
        <w:t xml:space="preserve">. W związku z tym wykorzystane zostaną nie tylko działania informacyjne ogólne ale także dotarcie do tych grup poprzez sołtysów  i za pomocą  plakatów. Również współpraca z instytucjami, dzięki którym dotarcie do tych osób będzie łatwiejsze, czyli instytucjami zajmującymi się osobami bezrobotnymi i/lub osobami z niekorzystną sytuacją finansową. W przypadku osób do 35 roku życia będzie to przede wszystkich </w:t>
      </w:r>
      <w:proofErr w:type="spellStart"/>
      <w:r w:rsidRPr="00E87A5F">
        <w:rPr>
          <w:rFonts w:ascii="Times New Roman" w:eastAsia="Times New Roman" w:hAnsi="Times New Roman" w:cs="Times New Roman"/>
        </w:rPr>
        <w:t>interent</w:t>
      </w:r>
      <w:proofErr w:type="spellEnd"/>
      <w:r w:rsidRPr="00E87A5F">
        <w:rPr>
          <w:rFonts w:ascii="Times New Roman" w:eastAsia="Times New Roman" w:hAnsi="Times New Roman" w:cs="Times New Roman"/>
        </w:rPr>
        <w:t xml:space="preserve"> i media </w:t>
      </w:r>
      <w:proofErr w:type="spellStart"/>
      <w:r w:rsidRPr="00E87A5F">
        <w:rPr>
          <w:rFonts w:ascii="Times New Roman" w:eastAsia="Times New Roman" w:hAnsi="Times New Roman" w:cs="Times New Roman"/>
        </w:rPr>
        <w:t>społecznościowe</w:t>
      </w:r>
      <w:proofErr w:type="spellEnd"/>
      <w:r w:rsidRPr="00E87A5F">
        <w:rPr>
          <w:rFonts w:ascii="Times New Roman" w:eastAsia="Times New Roman" w:hAnsi="Times New Roman" w:cs="Times New Roman"/>
        </w:rPr>
        <w:t xml:space="preserve">. </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Przedsiębiorców i osoby chcące podjąć działalność gospodarczą</w:t>
      </w:r>
      <w:r w:rsidRPr="00E87A5F">
        <w:rPr>
          <w:rFonts w:ascii="Times New Roman" w:eastAsia="Times New Roman" w:hAnsi="Times New Roman" w:cs="Times New Roman"/>
        </w:rPr>
        <w:t xml:space="preserve">  – jednym z głównych celów realizacji Strategii jest rozwój lokalnej gospodarki poprzez tworzenie miejsc pracy i rozwój lokalnych przedsiębiorców, dlatego podejmowane działania komunikacyjne będą kierowane szczególnie również</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do tej grupy. Dedykowane  spotkania dla przedsiębiorców, wysyłka informacji za pośrednictwem poczty elektronicznej</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Przedstawicieli NGO i JST </w:t>
      </w:r>
      <w:r w:rsidRPr="00E87A5F">
        <w:rPr>
          <w:rFonts w:ascii="Times New Roman" w:eastAsia="Times New Roman" w:hAnsi="Times New Roman" w:cs="Times New Roman"/>
        </w:rPr>
        <w:t xml:space="preserve">– współpraca i informowanie przedstawicieli NGO i JST będzie o tyle ważne, że celem jest utrzymanie i rozwój dotychczasowej szerokiej współpracy z tymi instytucjami. Są to z jednej strony partnerzy </w:t>
      </w:r>
      <w:r w:rsidRPr="00E87A5F">
        <w:rPr>
          <w:rFonts w:ascii="Times New Roman" w:eastAsia="Times New Roman" w:hAnsi="Times New Roman" w:cs="Times New Roman"/>
        </w:rPr>
        <w:lastRenderedPageBreak/>
        <w:t>w różnych działaniach w ramach wdrażania LSR a z drugiej dzięki realizowanym funkcjom są też „nośnikiem” informacji, która może za ich pośrednictwem dotrzeć do większej ilości ludzi.</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Ogół mieszkańców</w:t>
      </w:r>
      <w:r w:rsidRPr="00E87A5F">
        <w:rPr>
          <w:rFonts w:ascii="Times New Roman" w:eastAsia="Times New Roman" w:hAnsi="Times New Roman" w:cs="Times New Roman"/>
        </w:rPr>
        <w:t xml:space="preserve"> -  należy również traktować jako ważną grupę odbiorców niektórych działań komunikacyjnych. Jednym z głównych celów LSR jest aktywizacja społeczna, w związku z tym szereg podejmowanych działań będzie skierowany do wszystkich mieszkańców. Ważnym zadaniem w ramach tego działania będzie dotarcie (poprzez zróżnicowanie kanałów przekazu, zaangażowanie różnych instytucji i liderów) do osób, które nie mają doświadczenia w udziale w życiu społeczności lokalnej. Informowanie odbywać się będzie poprzez: środki o szerokim zasięgu media lokalne, prasa, ogłoszenia w miejscach spotkań społeczności lokalnej, poprzez sołtysów</w:t>
      </w:r>
    </w:p>
    <w:p w:rsidR="005F5E3C" w:rsidRPr="00E87A5F" w:rsidRDefault="005F5E3C" w:rsidP="005F5E3C">
      <w:pPr>
        <w:autoSpaceDE w:val="0"/>
        <w:autoSpaceDN w:val="0"/>
        <w:adjustRightInd w:val="0"/>
        <w:spacing w:after="0" w:line="240" w:lineRule="auto"/>
        <w:jc w:val="both"/>
        <w:rPr>
          <w:rFonts w:ascii="Times New Roman" w:hAnsi="Times New Roman" w:cs="Times New Roman"/>
          <w:color w:val="000000"/>
        </w:rPr>
      </w:pPr>
      <w:r w:rsidRPr="00E87A5F">
        <w:rPr>
          <w:rFonts w:ascii="Times New Roman" w:hAnsi="Times New Roman" w:cs="Times New Roman"/>
          <w:b/>
          <w:i/>
          <w:color w:val="000000"/>
        </w:rPr>
        <w:t xml:space="preserve">Wnioskodawcy </w:t>
      </w:r>
      <w:r w:rsidRPr="00E87A5F">
        <w:rPr>
          <w:rFonts w:ascii="Times New Roman" w:hAnsi="Times New Roman" w:cs="Times New Roman"/>
          <w:color w:val="000000"/>
        </w:rPr>
        <w:t xml:space="preserve">- </w:t>
      </w:r>
      <w:r w:rsidRPr="00E87A5F">
        <w:rPr>
          <w:rFonts w:ascii="Times New Roman" w:eastAsia="Times New Roman" w:hAnsi="Times New Roman" w:cs="Times New Roman"/>
          <w:color w:val="000000"/>
        </w:rPr>
        <w:t xml:space="preserve">to grupa podmiotów, którzy już złożyli wnioski oraz beneficjenci którzy realizują projekty dofinansowane ze środków EFRROW. </w:t>
      </w:r>
    </w:p>
    <w:p w:rsidR="005F5E3C" w:rsidRPr="00E87A5F" w:rsidRDefault="005F5E3C" w:rsidP="005F5E3C">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5F5E3C" w:rsidRPr="00E87A5F" w:rsidRDefault="005F5E3C" w:rsidP="005F5E3C">
      <w:pPr>
        <w:autoSpaceDE w:val="0"/>
        <w:autoSpaceDN w:val="0"/>
        <w:adjustRightInd w:val="0"/>
        <w:spacing w:after="0" w:line="240" w:lineRule="auto"/>
        <w:jc w:val="both"/>
        <w:rPr>
          <w:rFonts w:ascii="Times New Roman" w:hAnsi="Times New Roman" w:cs="Times New Roman"/>
          <w:b/>
          <w:color w:val="000000"/>
        </w:rPr>
      </w:pPr>
    </w:p>
    <w:p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Rodzaje działań i środków komunikacji</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Zastosowane środki i działania w planie komunikacyjnym uwzględniające  cel LSR i  grupy docelowe wynikają z analizy konsultacji społecznych .</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Wśród działań informacyjnych i promocyjno-wizerunkowych są:</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Kampanie informacyjne</w:t>
      </w:r>
      <w:r w:rsidRPr="00E87A5F">
        <w:rPr>
          <w:rFonts w:ascii="Times New Roman" w:eastAsia="Times New Roman" w:hAnsi="Times New Roman" w:cs="Times New Roman"/>
        </w:rPr>
        <w:t xml:space="preserve"> – będą dotyczyły wybranych celów głównych planu komunikacji. Za kampanię informacyjną uznaje się szereg działań komunikacyjnych podejmowanych w ramach jednego celu, wykorzystujących zróżnicowane środki przekazu.</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Badania satysfakcji</w:t>
      </w:r>
      <w:r w:rsidRPr="00E87A5F">
        <w:rPr>
          <w:rFonts w:ascii="Times New Roman" w:eastAsia="Times New Roman" w:hAnsi="Times New Roman" w:cs="Times New Roman"/>
        </w:rPr>
        <w:t xml:space="preserve"> –badanie satysfakcji odbywać się będzie poprzez uzupełnianie formularzy/ankiet przez beneficjentów (uczestników) wybranych wydarzeń.</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Doradztwo indywidualne</w:t>
      </w:r>
      <w:r w:rsidRPr="00E87A5F">
        <w:rPr>
          <w:rFonts w:ascii="Times New Roman" w:eastAsia="Times New Roman" w:hAnsi="Times New Roman" w:cs="Times New Roman"/>
        </w:rPr>
        <w:t xml:space="preserve"> – prowadzone w biurze LGD doradztwo przez pracowników LGD będzie formą indywidualnych konsultacji spraw związanych z LGD i LSR</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Szkolenia w tym spotkania warsztatowe</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 xml:space="preserve">- organizowane spotkania dotyczące możliwości włączenia się we wdrażanie LSR, realizowanie operacji w ramach LSR oraz aktualizacji LSR </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Wydarzenia promocyjne</w:t>
      </w:r>
      <w:r w:rsidRPr="00E87A5F">
        <w:rPr>
          <w:rFonts w:ascii="Times New Roman" w:eastAsia="Times New Roman" w:hAnsi="Times New Roman" w:cs="Times New Roman"/>
        </w:rPr>
        <w:t xml:space="preserve"> – odbywać się będą różne formy imprez i wyjazdów, na których grupy adresatów będą mogli zdobywać wiedzę i informacje o LGD i LSR</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Bieżąca publikacja informacji</w:t>
      </w:r>
      <w:r w:rsidRPr="00E87A5F">
        <w:rPr>
          <w:rFonts w:ascii="Times New Roman" w:eastAsia="Times New Roman" w:hAnsi="Times New Roman" w:cs="Times New Roman"/>
        </w:rPr>
        <w:t xml:space="preserve"> –pracownicy LGD będą na bieżąco udostępniali informacje poprzez dostępne kanały komunikacyjne Stowarzyszenia oraz partnerów</w:t>
      </w:r>
    </w:p>
    <w:p w:rsidR="005F5E3C" w:rsidRPr="00E87A5F" w:rsidRDefault="005F5E3C" w:rsidP="005F5E3C">
      <w:pPr>
        <w:spacing w:after="0" w:line="240" w:lineRule="auto"/>
        <w:jc w:val="both"/>
        <w:rPr>
          <w:rFonts w:ascii="Times New Roman" w:eastAsia="Times New Roman" w:hAnsi="Times New Roman" w:cs="Times New Roman"/>
          <w:b/>
        </w:rPr>
      </w:pPr>
      <w:r w:rsidRPr="00E87A5F">
        <w:rPr>
          <w:rFonts w:ascii="Times New Roman" w:eastAsia="Times New Roman" w:hAnsi="Times New Roman" w:cs="Times New Roman"/>
          <w:b/>
          <w:i/>
        </w:rPr>
        <w:t xml:space="preserve">Ogłoszenia </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w ramach działań komunikacyjnych zamieszczane będą ogłoszenia i artykuły w mediach lokalnych i ponadlokalnych</w:t>
      </w:r>
    </w:p>
    <w:p w:rsidR="00E62B12" w:rsidRPr="00E62B12" w:rsidRDefault="00E62B12" w:rsidP="00E62B12">
      <w:pPr>
        <w:autoSpaceDE w:val="0"/>
        <w:autoSpaceDN w:val="0"/>
        <w:adjustRightInd w:val="0"/>
        <w:spacing w:after="0" w:line="240" w:lineRule="auto"/>
        <w:contextualSpacing/>
        <w:jc w:val="both"/>
        <w:rPr>
          <w:rFonts w:ascii="Times New Roman" w:eastAsia="Times New Roman" w:hAnsi="Times New Roman" w:cs="Times New Roman"/>
          <w:b/>
          <w:i/>
        </w:rPr>
      </w:pPr>
      <w:r w:rsidRPr="00E62B12">
        <w:rPr>
          <w:rFonts w:ascii="Times New Roman" w:eastAsia="Times New Roman" w:hAnsi="Times New Roman" w:cs="Times New Roman"/>
          <w:b/>
          <w:i/>
        </w:rPr>
        <w:t xml:space="preserve">Biuletyn, Głos Leadera, plakaty, broszura – </w:t>
      </w:r>
      <w:r w:rsidRPr="004568E6">
        <w:rPr>
          <w:rFonts w:ascii="Times New Roman" w:eastAsia="Times New Roman" w:hAnsi="Times New Roman" w:cs="Times New Roman"/>
        </w:rPr>
        <w:t>dodatkowo, LGD będzie wy</w:t>
      </w:r>
      <w:r w:rsidR="004568E6">
        <w:rPr>
          <w:rFonts w:ascii="Times New Roman" w:eastAsia="Times New Roman" w:hAnsi="Times New Roman" w:cs="Times New Roman"/>
        </w:rPr>
        <w:t xml:space="preserve">dawała biuletyn, Głos Leadera, </w:t>
      </w:r>
      <w:r w:rsidRPr="004568E6">
        <w:rPr>
          <w:rFonts w:ascii="Times New Roman" w:eastAsia="Times New Roman" w:hAnsi="Times New Roman" w:cs="Times New Roman"/>
        </w:rPr>
        <w:t>plakaty</w:t>
      </w:r>
      <w:r w:rsidR="005A401D" w:rsidRPr="004568E6">
        <w:rPr>
          <w:rFonts w:ascii="Times New Roman" w:eastAsia="Times New Roman" w:hAnsi="Times New Roman" w:cs="Times New Roman"/>
        </w:rPr>
        <w:t xml:space="preserve"> </w:t>
      </w:r>
      <w:r w:rsidRPr="004568E6">
        <w:rPr>
          <w:rFonts w:ascii="Times New Roman" w:eastAsia="Times New Roman" w:hAnsi="Times New Roman" w:cs="Times New Roman"/>
        </w:rPr>
        <w:t>i broszurę służące rozpowszechnianiu informacji nt. LSR 2014-2020 oraz LGD</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Natomiast w odniesieniu do komunikacji wewnętrznej ustalono, iż komunikację tę definiują podstawowe dokumenty pracy biura (np. zakresy czynności, umowy cywilnoprawne, regulamin pracy biura) i działalności organów LGD, które zapewnią prawidłowość procesu komunikowania, w tym także prowadzenie odpowiedniej dokumentacji związanej z procesem, jego monitorowaniem i ewaluacją działań komunikacyjnych.</w:t>
      </w:r>
    </w:p>
    <w:p w:rsidR="005F5E3C" w:rsidRPr="00E87A5F" w:rsidRDefault="005F5E3C" w:rsidP="005F5E3C">
      <w:pPr>
        <w:autoSpaceDE w:val="0"/>
        <w:autoSpaceDN w:val="0"/>
        <w:adjustRightInd w:val="0"/>
        <w:spacing w:after="0" w:line="240" w:lineRule="auto"/>
        <w:ind w:firstLine="360"/>
        <w:contextualSpacing/>
        <w:jc w:val="both"/>
        <w:rPr>
          <w:rFonts w:ascii="Times New Roman" w:hAnsi="Times New Roman" w:cs="Times New Roman"/>
          <w:color w:val="000000"/>
        </w:rPr>
      </w:pPr>
    </w:p>
    <w:p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Zakładane wskaźniki realizacji działań komunikacyjnych oraz efekty działań komunikacyjnych</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Szczegółowy wykaz wskaźników oraz efektów znajduje się w poniższej tabeli. Są one powiązane z odpowiednimi pozycjami w budżecie LSR (Rozdział VIII). Zastosowane wskaźniki spójne są także ze wskaźnikami działań podejmowanych w ramach aktywizacji społeczności lokalnej, które uwzględnione zostały w matrycy logicznej (Rozdział V) oraz założeniami włączenia społeczności lokalnej w działanie LGD i wdrażanie LSR (Rozdział II).</w:t>
      </w:r>
    </w:p>
    <w:p w:rsidR="005F5E3C" w:rsidRPr="00E87A5F" w:rsidRDefault="005F5E3C" w:rsidP="005F5E3C">
      <w:pPr>
        <w:autoSpaceDE w:val="0"/>
        <w:autoSpaceDN w:val="0"/>
        <w:adjustRightInd w:val="0"/>
        <w:spacing w:after="0" w:line="240" w:lineRule="auto"/>
        <w:jc w:val="both"/>
        <w:rPr>
          <w:rFonts w:ascii="Times New Roman" w:eastAsia="Times New Roman" w:hAnsi="Times New Roman" w:cs="Times New Roman"/>
          <w:b/>
          <w:color w:val="000000"/>
        </w:rPr>
      </w:pPr>
    </w:p>
    <w:p w:rsidR="005F5E3C" w:rsidRPr="00E87A5F" w:rsidRDefault="005F5E3C" w:rsidP="005F5E3C">
      <w:pPr>
        <w:pStyle w:val="Default"/>
        <w:numPr>
          <w:ilvl w:val="0"/>
          <w:numId w:val="27"/>
        </w:numPr>
        <w:jc w:val="both"/>
        <w:rPr>
          <w:b/>
          <w:sz w:val="22"/>
          <w:szCs w:val="22"/>
        </w:rPr>
      </w:pPr>
      <w:r w:rsidRPr="00E87A5F">
        <w:rPr>
          <w:b/>
          <w:sz w:val="22"/>
          <w:szCs w:val="22"/>
        </w:rPr>
        <w:t>Analiza</w:t>
      </w:r>
      <w:r w:rsidRPr="00E87A5F">
        <w:rPr>
          <w:b/>
          <w:bCs/>
          <w:sz w:val="22"/>
          <w:szCs w:val="22"/>
        </w:rPr>
        <w:t xml:space="preserve"> efektywności zastosowanych działań komunikacyjnych i środków przekazu</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Analiza efektywności zastosowanych działań komunikacyjnych i środków przekazu będzie prowadzona poprzez:</w:t>
      </w:r>
    </w:p>
    <w:p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Bieżącą analizę liczby uczestników/odbiorców poszczególnych działań. Zebranie poszczególnych danych z prowadzonych działań i stosowania środków przekazu będzie odbywało się na podstawie zbieranych przez pracowników LGD informacji (listy uczestników, ankiety satysfakcji, uczestnictwo w wydarzeniach) oraz za pomocą specjalnych pomiarów (liczba odwiedzających stronę, liczba odbiorców danego medium). Dzięki bieżącemu kontrolowaniu tego ilu było odbiorców/uczestników danego działania komunikacyjnego i stosowanego środka przekazu, możliwe będzie szybkie reagowanie przez pracowników LGD, Komisję Rewizyjną i Zarząd w celu poprawy jakości realizowanych działań, zmiany realizowanych działań lub rezygnacji z realizowanych w danym zakresie działań. Zakłada się prowadzenie cyklicznych podsumowań półrocznych, w których zbierane dane będą stanowiły podstawę do wydania przez Komisję Rewizyjną opinii na temat skuteczności i efektywności działań. Podejmowane działania będą ponadto prowadzone zgodnie z założeniami planu monitoringu.</w:t>
      </w:r>
    </w:p>
    <w:p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Ewaluację prowadzoną w trakcie wdrażania (ewaluacja on-</w:t>
      </w:r>
      <w:proofErr w:type="spellStart"/>
      <w:r w:rsidRPr="00E87A5F">
        <w:rPr>
          <w:rFonts w:ascii="Times New Roman" w:hAnsi="Times New Roman" w:cs="Times New Roman"/>
          <w:lang w:eastAsia="pl-PL"/>
        </w:rPr>
        <w:t>going</w:t>
      </w:r>
      <w:proofErr w:type="spellEnd"/>
      <w:r w:rsidRPr="00E87A5F">
        <w:rPr>
          <w:rFonts w:ascii="Times New Roman" w:hAnsi="Times New Roman" w:cs="Times New Roman"/>
          <w:lang w:eastAsia="pl-PL"/>
        </w:rPr>
        <w:t xml:space="preserve">) – dzięki prowadzonej ewaluacji możliwe będzie zebranie dodatkowych danych dotyczących działalności komunikacyjnej LGD. Zebranie danych po dwóch latach działalności pozwoli na szerokie spojrzenie podejmowane działania pod kątem podstawowych </w:t>
      </w:r>
      <w:r w:rsidRPr="00E87A5F">
        <w:rPr>
          <w:rFonts w:ascii="Times New Roman" w:hAnsi="Times New Roman" w:cs="Times New Roman"/>
          <w:lang w:eastAsia="pl-PL"/>
        </w:rPr>
        <w:lastRenderedPageBreak/>
        <w:t>kryteriów ewaluacji. Opis ewaluacji planu komunikacyjnego zawiera rozdział XII LSR. W obu przypadkach, wyniki pokazujące skuteczność prowadzonych działań będą przedstawiane i konsultowane z Zarządem LGD. Zarząd będzie przygotowywał propozycje wprowadzenia zmian i podniesienia skuteczności zaplanowanych działań.</w:t>
      </w:r>
    </w:p>
    <w:p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Opis wniosków/opinii zebranych podczas działań komunikacyjnych, sposobu ich wykorzystania w procesie realizacji LSR</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Lokalna Grupa Działania będzie podejmowała następujące działania z zakresu pozyskania informacji o funkcjonowaniu LGD i realizacji LSR poprzez:</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konsultacji społecznych, warsztatów oraz doradztwa</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badań społecznych z zastosowaniem kwestionariuszy ankiet</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punktu konsultacyjnego w biurze LGD</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Możliwość kontaktu z pracownikami LGD bezpośrednio, telefonicznie, mailowo</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Organizację i uczestnictwo w imprezach wraz z punktem informacji LGD</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ankiet Internetowych</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 xml:space="preserve">Prowadzenie monitoringu oraz ewaluacji </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Pozyskiwane w ten sposób informacje będą poddawane analizie przez pracowników biura, Zarząd, Komisję Rewizyjną, a w określonych przypadkach (np. kiedy ocenie będą poddawane organy LGD i/lub pracownicy biura) ekspertów zewnętrznych, którzy będą przedstawiali wnioski wskazujące konieczność wprowadzenia zmian, aktualizacji. W przypadku wykrycia sytuacji problemowej lub niesatysfakcjonującej akceptacji społecznej któregoś z wymiarów działania LGD i/lub wdrażania LSR, Komisja Rewizyjna LGD po zapoznaniu się z przedstawioną analizą przygotowaną przez odpowiedni podmiot (pracowników lub ekspertów zewnętrznych) lub mieszkańców, jeśli będą miały miejsce skargi bezpośrednie, będzie podejmował kroki naprawcze zgodnie ze schematem zarządzania sytuacją kryzysową:</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 Rozpoznanie problemu</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b) Rozpoznanie przyczyn problemu</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c) Wprowadzenie niezbędnych zmian/aktualizacji w celu rozwiązania przyczyn problemu (jeśli będzie to konieczne, Komisja Rewizyjna będzie zwoływała zebranie innych organów, aby przeprowadzić procedury zmian zgodnie z założeniami regulaminów)</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 Publikowanie informacji na temat prowadzonego postępowania m.in. na stronie Internetowej LGD</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 xml:space="preserve">Podobny schemat postępowania będzie obowiązywał w przypadku stwierdzenia wyjątkowej skuteczności zastosowanych metod. Wtedy, do decyzji Komisji Rewizyjnej będzie należało, czy warto wprowadzić zmiany oparte nie na negatywnych doświadczeniach, a pozytywnych wnioskach z prowadzonych analiz. </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Ważną zasadą, którą bezwzględnie będzie przestrzegało LGD, jest pełna transparentność i przejrzystość stosowanych zasad i procedur, dlatego również w sytuacji problemowej, zespół LGD (pracownicy, członkowie) będą zobligowani do pełnego informowania o przyjętych rozwiązaniach również w kontaktach bezpośrednich. W związku z tym, LGD będzie upubliczniało wyniki działań w ramach planu komunikacji w sprawozdaniach rocznych zamieszczanych na stronie Internetowej LGD. Dodatkowo, każdorazowo po przeprowadzonych działaniach komunikacyjnych wpisanych w Plan komunikacji będą publikowane na stronie LGD, które będą podsumowywały dane działanie.</w:t>
      </w:r>
    </w:p>
    <w:p w:rsidR="005F5E3C" w:rsidRPr="00E87A5F" w:rsidRDefault="005F5E3C" w:rsidP="005F5E3C">
      <w:pPr>
        <w:spacing w:after="0" w:line="240" w:lineRule="auto"/>
        <w:jc w:val="both"/>
        <w:rPr>
          <w:rFonts w:ascii="Times New Roman" w:eastAsia="Times New Roman" w:hAnsi="Times New Roman" w:cs="Times New Roman"/>
        </w:rPr>
      </w:pPr>
    </w:p>
    <w:p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Całkowity budżet przewidziany na działania komunikacyjne</w:t>
      </w:r>
    </w:p>
    <w:p w:rsidR="005F5E3C" w:rsidRPr="00E87A5F" w:rsidRDefault="005F5E3C" w:rsidP="005F5E3C">
      <w:pPr>
        <w:spacing w:after="0" w:line="240" w:lineRule="auto"/>
        <w:jc w:val="both"/>
        <w:rPr>
          <w:rFonts w:ascii="Times New Roman" w:eastAsia="Times New Roman" w:hAnsi="Times New Roman" w:cs="Times New Roman"/>
        </w:rPr>
      </w:pPr>
    </w:p>
    <w:p w:rsidR="005F5E3C" w:rsidRPr="00E87A5F" w:rsidRDefault="005F5E3C" w:rsidP="005F5E3C">
      <w:pPr>
        <w:autoSpaceDE w:val="0"/>
        <w:autoSpaceDN w:val="0"/>
        <w:adjustRightInd w:val="0"/>
        <w:spacing w:after="0" w:line="240" w:lineRule="auto"/>
        <w:jc w:val="both"/>
        <w:rPr>
          <w:rFonts w:ascii="Times New Roman" w:hAnsi="Times New Roman" w:cs="Times New Roman"/>
          <w:b/>
        </w:rPr>
      </w:pP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803"/>
        <w:gridCol w:w="4111"/>
        <w:gridCol w:w="4992"/>
      </w:tblGrid>
      <w:tr w:rsidR="0079694D" w:rsidRPr="00E87A5F" w:rsidTr="0079694D">
        <w:trPr>
          <w:jc w:val="center"/>
        </w:trPr>
        <w:tc>
          <w:tcPr>
            <w:tcW w:w="803"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Lp.</w:t>
            </w:r>
          </w:p>
        </w:tc>
        <w:tc>
          <w:tcPr>
            <w:tcW w:w="4111"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Działania</w:t>
            </w:r>
          </w:p>
        </w:tc>
        <w:tc>
          <w:tcPr>
            <w:tcW w:w="4992"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Szacu</w:t>
            </w:r>
            <w:r>
              <w:rPr>
                <w:rFonts w:ascii="Times New Roman" w:hAnsi="Times New Roman" w:cs="Times New Roman"/>
                <w:b/>
              </w:rPr>
              <w:t>nkowy koszt w latach 2016 – 2023</w:t>
            </w:r>
            <w:r w:rsidRPr="00E87A5F">
              <w:rPr>
                <w:rFonts w:ascii="Times New Roman" w:hAnsi="Times New Roman" w:cs="Times New Roman"/>
                <w:b/>
              </w:rPr>
              <w:t xml:space="preserve"> (zł)</w:t>
            </w:r>
          </w:p>
        </w:tc>
      </w:tr>
      <w:tr w:rsidR="0079694D" w:rsidRPr="00E87A5F" w:rsidTr="0079694D">
        <w:trPr>
          <w:jc w:val="center"/>
        </w:trPr>
        <w:tc>
          <w:tcPr>
            <w:tcW w:w="803" w:type="dxa"/>
          </w:tcPr>
          <w:p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1</w:t>
            </w:r>
          </w:p>
        </w:tc>
        <w:tc>
          <w:tcPr>
            <w:tcW w:w="4111"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Ogłoszenia w prasie</w:t>
            </w:r>
          </w:p>
        </w:tc>
        <w:tc>
          <w:tcPr>
            <w:tcW w:w="4992"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5 000,00 </w:t>
            </w:r>
          </w:p>
        </w:tc>
      </w:tr>
      <w:tr w:rsidR="0079694D" w:rsidRPr="00E87A5F" w:rsidTr="0079694D">
        <w:trPr>
          <w:jc w:val="center"/>
        </w:trPr>
        <w:tc>
          <w:tcPr>
            <w:tcW w:w="803" w:type="dxa"/>
          </w:tcPr>
          <w:p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2</w:t>
            </w:r>
          </w:p>
        </w:tc>
        <w:tc>
          <w:tcPr>
            <w:tcW w:w="4111"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Plakaty, Głos Leadera, biuletyn</w:t>
            </w:r>
          </w:p>
        </w:tc>
        <w:tc>
          <w:tcPr>
            <w:tcW w:w="4992" w:type="dxa"/>
          </w:tcPr>
          <w:p w:rsidR="0079694D" w:rsidRPr="0079694D" w:rsidRDefault="0079694D" w:rsidP="0079694D">
            <w:pPr>
              <w:autoSpaceDE w:val="0"/>
              <w:autoSpaceDN w:val="0"/>
              <w:adjustRightInd w:val="0"/>
              <w:jc w:val="both"/>
              <w:rPr>
                <w:rFonts w:ascii="Times New Roman" w:hAnsi="Times New Roman" w:cs="Times New Roman"/>
                <w:b/>
                <w:strike/>
              </w:rPr>
            </w:pPr>
            <w:r w:rsidRPr="0079694D">
              <w:rPr>
                <w:rFonts w:ascii="Times New Roman" w:hAnsi="Times New Roman" w:cs="Times New Roman"/>
                <w:b/>
              </w:rPr>
              <w:t>17 000,00</w:t>
            </w:r>
          </w:p>
        </w:tc>
      </w:tr>
      <w:tr w:rsidR="0079694D" w:rsidRPr="00E87A5F" w:rsidTr="0079694D">
        <w:trPr>
          <w:jc w:val="center"/>
        </w:trPr>
        <w:tc>
          <w:tcPr>
            <w:tcW w:w="803" w:type="dxa"/>
          </w:tcPr>
          <w:p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3</w:t>
            </w:r>
          </w:p>
        </w:tc>
        <w:tc>
          <w:tcPr>
            <w:tcW w:w="4111"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Spotkania informacyjno-konsultacyjne </w:t>
            </w:r>
          </w:p>
        </w:tc>
        <w:tc>
          <w:tcPr>
            <w:tcW w:w="4992" w:type="dxa"/>
          </w:tcPr>
          <w:p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12 000,00</w:t>
            </w:r>
          </w:p>
        </w:tc>
      </w:tr>
      <w:tr w:rsidR="0079694D" w:rsidRPr="00E87A5F" w:rsidTr="0079694D">
        <w:trPr>
          <w:jc w:val="center"/>
        </w:trPr>
        <w:tc>
          <w:tcPr>
            <w:tcW w:w="803" w:type="dxa"/>
          </w:tcPr>
          <w:p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4</w:t>
            </w:r>
          </w:p>
        </w:tc>
        <w:tc>
          <w:tcPr>
            <w:tcW w:w="4111"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Wydarzenia promocyjne</w:t>
            </w:r>
          </w:p>
        </w:tc>
        <w:tc>
          <w:tcPr>
            <w:tcW w:w="4992" w:type="dxa"/>
          </w:tcPr>
          <w:p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 xml:space="preserve">15 000,00 </w:t>
            </w:r>
          </w:p>
        </w:tc>
      </w:tr>
      <w:tr w:rsidR="0079694D" w:rsidRPr="00E87A5F" w:rsidTr="0079694D">
        <w:trPr>
          <w:jc w:val="center"/>
        </w:trPr>
        <w:tc>
          <w:tcPr>
            <w:tcW w:w="803" w:type="dxa"/>
          </w:tcPr>
          <w:p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5</w:t>
            </w:r>
          </w:p>
        </w:tc>
        <w:tc>
          <w:tcPr>
            <w:tcW w:w="4111"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Doradztwo indywidualne</w:t>
            </w:r>
          </w:p>
        </w:tc>
        <w:tc>
          <w:tcPr>
            <w:tcW w:w="4992" w:type="dxa"/>
          </w:tcPr>
          <w:p w:rsidR="0079694D" w:rsidRPr="0079694D" w:rsidRDefault="0079694D" w:rsidP="0079694D">
            <w:pPr>
              <w:autoSpaceDE w:val="0"/>
              <w:autoSpaceDN w:val="0"/>
              <w:adjustRightInd w:val="0"/>
              <w:jc w:val="both"/>
              <w:rPr>
                <w:rFonts w:ascii="Times New Roman" w:hAnsi="Times New Roman" w:cs="Times New Roman"/>
                <w:b/>
              </w:rPr>
            </w:pPr>
            <w:proofErr w:type="spellStart"/>
            <w:r w:rsidRPr="0079694D">
              <w:rPr>
                <w:rFonts w:ascii="Times New Roman" w:hAnsi="Times New Roman" w:cs="Times New Roman"/>
                <w:b/>
              </w:rPr>
              <w:t>bezkosztowo</w:t>
            </w:r>
            <w:proofErr w:type="spellEnd"/>
          </w:p>
        </w:tc>
      </w:tr>
      <w:tr w:rsidR="0079694D" w:rsidRPr="00E87A5F" w:rsidTr="0079694D">
        <w:trPr>
          <w:jc w:val="center"/>
        </w:trPr>
        <w:tc>
          <w:tcPr>
            <w:tcW w:w="803" w:type="dxa"/>
          </w:tcPr>
          <w:p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6</w:t>
            </w:r>
          </w:p>
        </w:tc>
        <w:tc>
          <w:tcPr>
            <w:tcW w:w="4111" w:type="dxa"/>
          </w:tcPr>
          <w:p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Lokalne inicjatywy</w:t>
            </w:r>
          </w:p>
        </w:tc>
        <w:tc>
          <w:tcPr>
            <w:tcW w:w="4992" w:type="dxa"/>
          </w:tcPr>
          <w:p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16 000,00</w:t>
            </w:r>
          </w:p>
        </w:tc>
      </w:tr>
      <w:tr w:rsidR="0079694D" w:rsidRPr="00E87A5F" w:rsidTr="0079694D">
        <w:trPr>
          <w:jc w:val="center"/>
        </w:trPr>
        <w:tc>
          <w:tcPr>
            <w:tcW w:w="803" w:type="dxa"/>
          </w:tcPr>
          <w:p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razem</w:t>
            </w:r>
          </w:p>
        </w:tc>
        <w:tc>
          <w:tcPr>
            <w:tcW w:w="4111" w:type="dxa"/>
          </w:tcPr>
          <w:p w:rsidR="0079694D" w:rsidRPr="00E87A5F" w:rsidRDefault="0079694D" w:rsidP="0079694D">
            <w:pPr>
              <w:autoSpaceDE w:val="0"/>
              <w:autoSpaceDN w:val="0"/>
              <w:adjustRightInd w:val="0"/>
              <w:jc w:val="both"/>
              <w:rPr>
                <w:rFonts w:ascii="Times New Roman" w:hAnsi="Times New Roman" w:cs="Times New Roman"/>
                <w:b/>
              </w:rPr>
            </w:pPr>
          </w:p>
        </w:tc>
        <w:tc>
          <w:tcPr>
            <w:tcW w:w="4992" w:type="dxa"/>
          </w:tcPr>
          <w:p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65</w:t>
            </w:r>
            <w:r w:rsidRPr="00E87A5F">
              <w:rPr>
                <w:rFonts w:ascii="Times New Roman" w:hAnsi="Times New Roman" w:cs="Times New Roman"/>
                <w:b/>
              </w:rPr>
              <w:t xml:space="preserve"> 000,00 </w:t>
            </w:r>
          </w:p>
        </w:tc>
      </w:tr>
    </w:tbl>
    <w:p w:rsidR="005F5E3C" w:rsidRPr="00E87A5F" w:rsidRDefault="005F5E3C" w:rsidP="005F5E3C">
      <w:pPr>
        <w:pStyle w:val="Nagwek3"/>
        <w:jc w:val="both"/>
        <w:rPr>
          <w:rFonts w:ascii="Times New Roman" w:hAnsi="Times New Roman" w:cs="Times New Roman"/>
        </w:rPr>
        <w:sectPr w:rsidR="005F5E3C" w:rsidRPr="00E87A5F" w:rsidSect="003A2AD2">
          <w:pgSz w:w="11906" w:h="16838"/>
          <w:pgMar w:top="567" w:right="567" w:bottom="567" w:left="851" w:header="709" w:footer="3" w:gutter="0"/>
          <w:cols w:space="708"/>
          <w:docGrid w:linePitch="360"/>
        </w:sectPr>
      </w:pPr>
    </w:p>
    <w:p w:rsidR="005F5E3C" w:rsidRPr="005B0671" w:rsidRDefault="005F5E3C" w:rsidP="005B0671">
      <w:pPr>
        <w:pStyle w:val="Akapitzlist"/>
        <w:numPr>
          <w:ilvl w:val="0"/>
          <w:numId w:val="27"/>
        </w:numPr>
        <w:autoSpaceDE w:val="0"/>
        <w:autoSpaceDN w:val="0"/>
        <w:adjustRightInd w:val="0"/>
        <w:spacing w:after="0" w:line="360" w:lineRule="auto"/>
        <w:contextualSpacing/>
        <w:rPr>
          <w:rFonts w:ascii="Times New Roman" w:hAnsi="Times New Roman" w:cs="Times New Roman"/>
          <w:b/>
        </w:rPr>
      </w:pPr>
      <w:r w:rsidRPr="005B0671">
        <w:rPr>
          <w:rFonts w:ascii="Times New Roman" w:hAnsi="Times New Roman" w:cs="Times New Roman"/>
          <w:b/>
        </w:rPr>
        <w:lastRenderedPageBreak/>
        <w:t>Plan komunikacji – cele, działania, adresaci i środki /narzędzia komunikacji</w:t>
      </w:r>
    </w:p>
    <w:p w:rsidR="005F5E3C" w:rsidRPr="00E87A5F" w:rsidRDefault="005F5E3C" w:rsidP="005F5E3C">
      <w:pPr>
        <w:autoSpaceDE w:val="0"/>
        <w:autoSpaceDN w:val="0"/>
        <w:adjustRightInd w:val="0"/>
        <w:spacing w:after="0" w:line="360" w:lineRule="auto"/>
        <w:rPr>
          <w:rFonts w:ascii="Times New Roman" w:hAnsi="Times New Roman" w:cs="Times New Roman"/>
          <w:color w:val="000000"/>
        </w:rPr>
      </w:pPr>
    </w:p>
    <w:tbl>
      <w:tblPr>
        <w:tblW w:w="14899"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left w:w="70" w:type="dxa"/>
          <w:right w:w="70" w:type="dxa"/>
        </w:tblCellMar>
        <w:tblLook w:val="04A0" w:firstRow="1" w:lastRow="0" w:firstColumn="1" w:lastColumn="0" w:noHBand="0" w:noVBand="1"/>
      </w:tblPr>
      <w:tblGrid>
        <w:gridCol w:w="1204"/>
        <w:gridCol w:w="2213"/>
        <w:gridCol w:w="1843"/>
        <w:gridCol w:w="1843"/>
        <w:gridCol w:w="2835"/>
        <w:gridCol w:w="2551"/>
        <w:gridCol w:w="2410"/>
      </w:tblGrid>
      <w:tr w:rsidR="005F5E3C" w:rsidRPr="00E87A5F" w:rsidTr="00067FD0">
        <w:trPr>
          <w:trHeight w:val="825"/>
        </w:trPr>
        <w:tc>
          <w:tcPr>
            <w:tcW w:w="1204"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Termin</w:t>
            </w:r>
          </w:p>
        </w:tc>
        <w:tc>
          <w:tcPr>
            <w:tcW w:w="2213"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Cel komunikacyjny</w:t>
            </w:r>
          </w:p>
        </w:tc>
        <w:tc>
          <w:tcPr>
            <w:tcW w:w="1843"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Działanie komunikacyjne</w:t>
            </w:r>
          </w:p>
        </w:tc>
        <w:tc>
          <w:tcPr>
            <w:tcW w:w="1843"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Adresaci</w:t>
            </w:r>
          </w:p>
        </w:tc>
        <w:tc>
          <w:tcPr>
            <w:tcW w:w="2835"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Środek/narzędzie komunikacyjne</w:t>
            </w:r>
          </w:p>
        </w:tc>
        <w:tc>
          <w:tcPr>
            <w:tcW w:w="2551" w:type="dxa"/>
            <w:shd w:val="clear" w:color="000000" w:fill="B8CCE4"/>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Wskaźniki realizacji działań komunikacyjnych</w:t>
            </w:r>
            <w:r w:rsidR="001D2622">
              <w:rPr>
                <w:rFonts w:ascii="Times New Roman" w:eastAsia="Times New Roman" w:hAnsi="Times New Roman" w:cs="Times New Roman"/>
                <w:color w:val="000000"/>
              </w:rPr>
              <w:t xml:space="preserve"> – stan na 2023 r.</w:t>
            </w:r>
          </w:p>
        </w:tc>
        <w:tc>
          <w:tcPr>
            <w:tcW w:w="2410" w:type="dxa"/>
            <w:shd w:val="clear" w:color="000000" w:fill="B8CCE4"/>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Planowane efekty działań komunikacyjnych</w:t>
            </w:r>
          </w:p>
        </w:tc>
      </w:tr>
      <w:tr w:rsidR="005F5E3C" w:rsidRPr="00E87A5F" w:rsidTr="00067FD0">
        <w:trPr>
          <w:trHeight w:val="2265"/>
        </w:trPr>
        <w:tc>
          <w:tcPr>
            <w:tcW w:w="1204" w:type="dxa"/>
            <w:shd w:val="clear" w:color="000000" w:fill="B8CCE4"/>
            <w:noWrap/>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lokalnej społeczności o LSR, jej głównych celach, zasadach przyznawania dofinansowania oraz typach operacji, które będą miały największe szanse wsparcia z budżetu LSR</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 zorganizowana na terenie gmin objętych LSR</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r w:rsidRPr="00E87A5F">
              <w:rPr>
                <w:rFonts w:ascii="Times New Roman" w:eastAsia="Times New Roman" w:hAnsi="Times New Roman" w:cs="Times New Roman"/>
                <w:color w:val="000000"/>
              </w:rPr>
              <w:br/>
            </w:r>
            <w:r w:rsidRPr="00E87A5F">
              <w:rPr>
                <w:rFonts w:ascii="Times New Roman" w:eastAsia="Times New Roman" w:hAnsi="Times New Roman" w:cs="Times New Roman"/>
                <w:color w:val="000000"/>
              </w:rPr>
              <w:br/>
              <w:t xml:space="preserve"> </w:t>
            </w: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opublikowanych komunikatów informacyjnych na stronach internetowych LGD i partnerów </w:t>
            </w:r>
            <w:r w:rsidR="00DA3CB2">
              <w:rPr>
                <w:rFonts w:ascii="Times New Roman" w:eastAsia="Times New Roman" w:hAnsi="Times New Roman" w:cs="Times New Roman"/>
                <w:color w:val="000000"/>
              </w:rPr>
              <w:t xml:space="preserve"> - 6</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wydań biuletynu LGD</w:t>
            </w:r>
            <w:r w:rsidR="00DA3CB2">
              <w:rPr>
                <w:rFonts w:ascii="Times New Roman" w:eastAsia="Times New Roman" w:hAnsi="Times New Roman" w:cs="Times New Roman"/>
                <w:color w:val="000000"/>
              </w:rPr>
              <w:t xml:space="preserve"> - 2</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spotkań </w:t>
            </w:r>
            <w:r w:rsidR="00DA3CB2">
              <w:rPr>
                <w:rFonts w:ascii="Times New Roman" w:eastAsia="Times New Roman" w:hAnsi="Times New Roman" w:cs="Times New Roman"/>
                <w:color w:val="000000"/>
              </w:rPr>
              <w:t xml:space="preserve"> - 8</w:t>
            </w: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społeczności lokalnej o zasadach realizacji LSR</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świadczonej pomocy</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rsidTr="00067FD0">
        <w:trPr>
          <w:trHeight w:val="552"/>
        </w:trPr>
        <w:tc>
          <w:tcPr>
            <w:tcW w:w="1204" w:type="dxa"/>
            <w:shd w:val="clear" w:color="000000" w:fill="B8CCE4"/>
            <w:noWrap/>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Utrzymanie dobrego wizerunku i rozpoznawalności LGD</w:t>
            </w:r>
          </w:p>
        </w:tc>
        <w:tc>
          <w:tcPr>
            <w:tcW w:w="184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Wydarzenia promocyjne</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Bieżące publikacje informacji</w:t>
            </w:r>
          </w:p>
          <w:p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rsidR="00934B47" w:rsidRPr="00E87A5F" w:rsidRDefault="00934B47"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Lokalne inicjatywy</w:t>
            </w:r>
          </w:p>
        </w:tc>
        <w:tc>
          <w:tcPr>
            <w:tcW w:w="184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Stoiska informacyjne</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Strona internetowa LGD i partnerów</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promocyjne</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Impreza promocyjna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DA3CB2">
              <w:rPr>
                <w:rFonts w:ascii="Times New Roman" w:eastAsia="Times New Roman" w:hAnsi="Times New Roman" w:cs="Times New Roman"/>
                <w:color w:val="000000"/>
              </w:rPr>
              <w:t xml:space="preserve"> - 1</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zamieszczonych ogłoszeń na stronie internetowej LGD i partnerów</w:t>
            </w:r>
            <w:r w:rsidR="001D2622">
              <w:rPr>
                <w:rFonts w:ascii="Times New Roman" w:eastAsia="Times New Roman" w:hAnsi="Times New Roman" w:cs="Times New Roman"/>
                <w:color w:val="000000"/>
              </w:rPr>
              <w:t xml:space="preserve"> - 10</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wydawnictw promocyjnych</w:t>
            </w:r>
            <w:r w:rsidR="001D2622">
              <w:rPr>
                <w:rFonts w:ascii="Times New Roman" w:eastAsia="Times New Roman" w:hAnsi="Times New Roman" w:cs="Times New Roman"/>
                <w:color w:val="000000"/>
              </w:rPr>
              <w:t xml:space="preserve"> - 2</w:t>
            </w:r>
          </w:p>
          <w:p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w:t>
            </w:r>
            <w:r w:rsidR="001D2622">
              <w:rPr>
                <w:rFonts w:ascii="Times New Roman" w:eastAsia="Times New Roman" w:hAnsi="Times New Roman" w:cs="Times New Roman"/>
                <w:color w:val="000000"/>
              </w:rPr>
              <w:t xml:space="preserve">wydarzeń </w:t>
            </w:r>
            <w:r w:rsidRPr="00E87A5F">
              <w:rPr>
                <w:rFonts w:ascii="Times New Roman" w:eastAsia="Times New Roman" w:hAnsi="Times New Roman" w:cs="Times New Roman"/>
                <w:color w:val="000000"/>
              </w:rPr>
              <w:t>promocyjnych</w:t>
            </w:r>
            <w:r w:rsidR="000D7949">
              <w:rPr>
                <w:rFonts w:ascii="Times New Roman" w:eastAsia="Times New Roman" w:hAnsi="Times New Roman" w:cs="Times New Roman"/>
                <w:color w:val="000000"/>
              </w:rPr>
              <w:t xml:space="preserve"> </w:t>
            </w:r>
            <w:r w:rsidR="00934B47">
              <w:rPr>
                <w:rFonts w:ascii="Times New Roman" w:eastAsia="Times New Roman" w:hAnsi="Times New Roman" w:cs="Times New Roman"/>
                <w:color w:val="000000"/>
              </w:rPr>
              <w:t>–</w:t>
            </w:r>
            <w:r w:rsidR="000D7949">
              <w:rPr>
                <w:rFonts w:ascii="Times New Roman" w:eastAsia="Times New Roman" w:hAnsi="Times New Roman" w:cs="Times New Roman"/>
                <w:color w:val="000000"/>
              </w:rPr>
              <w:t xml:space="preserve"> 10</w:t>
            </w:r>
          </w:p>
          <w:p w:rsidR="00934B47" w:rsidRPr="00E87A5F" w:rsidRDefault="00934B47" w:rsidP="00067FD0">
            <w:pPr>
              <w:spacing w:after="0" w:line="240" w:lineRule="auto"/>
              <w:rPr>
                <w:rFonts w:ascii="Times New Roman" w:eastAsia="Times New Roman" w:hAnsi="Times New Roman" w:cs="Times New Roman"/>
                <w:color w:val="000000"/>
              </w:rPr>
            </w:pPr>
            <w:r w:rsidRPr="00934B47">
              <w:rPr>
                <w:rFonts w:ascii="Times New Roman" w:eastAsia="Times New Roman" w:hAnsi="Times New Roman" w:cs="Times New Roman"/>
                <w:color w:val="000000"/>
              </w:rPr>
              <w:t>liczba zrealizowanych lokalnych inicjatyw – 16</w:t>
            </w: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rozpoznających LGD</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znających założenia funkcjonowania LGD i wdrażania LSR</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Pozytywna ocena działalności LGD na rzecz rozwoju lokalnego wśród społeczności lokalnej</w:t>
            </w:r>
          </w:p>
        </w:tc>
      </w:tr>
      <w:tr w:rsidR="005F5E3C" w:rsidRPr="00E87A5F" w:rsidTr="00067FD0">
        <w:trPr>
          <w:trHeight w:val="978"/>
        </w:trPr>
        <w:tc>
          <w:tcPr>
            <w:tcW w:w="1204" w:type="dxa"/>
            <w:shd w:val="clear" w:color="000000" w:fill="B8CCE4"/>
            <w:noWrap/>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2016/2017/2018/2019/2020</w:t>
            </w:r>
          </w:p>
        </w:tc>
        <w:tc>
          <w:tcPr>
            <w:tcW w:w="221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beneficjentów o terminach, trybie i procedurze ogłoszonych naborów, puli środków przeznaczonych na dofinansowanie operacji, dokumentach niezbędnych w procesie aplikowania oraz poszczególnych kryteriów oceny używanych przez Radę LGD</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Osoby </w:t>
            </w:r>
            <w:proofErr w:type="spellStart"/>
            <w:r w:rsidRPr="00E87A5F">
              <w:rPr>
                <w:rFonts w:ascii="Times New Roman" w:eastAsia="Times New Roman" w:hAnsi="Times New Roman" w:cs="Times New Roman"/>
                <w:color w:val="000000"/>
              </w:rPr>
              <w:t>defaworyzowane</w:t>
            </w:r>
            <w:proofErr w:type="spellEnd"/>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udzielonego doradztwa indywidualnego w biurze LGD w formie bezpośredniej lub pośredniej</w:t>
            </w:r>
            <w:r w:rsidR="001D2622">
              <w:rPr>
                <w:rFonts w:ascii="Times New Roman" w:eastAsia="Times New Roman" w:hAnsi="Times New Roman" w:cs="Times New Roman"/>
                <w:color w:val="000000"/>
              </w:rPr>
              <w:t xml:space="preserve"> - 500</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zorganizowanych spotkań w formie bezpośredniej</w:t>
            </w:r>
            <w:r w:rsidR="001D2622">
              <w:rPr>
                <w:rFonts w:ascii="Times New Roman" w:eastAsia="Times New Roman" w:hAnsi="Times New Roman" w:cs="Times New Roman"/>
                <w:color w:val="000000"/>
              </w:rPr>
              <w:t xml:space="preserve"> - 27</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opublikowanych postów na stronie LGD  i partnerów</w:t>
            </w:r>
            <w:r w:rsidR="001D2622">
              <w:rPr>
                <w:rFonts w:ascii="Times New Roman" w:eastAsia="Times New Roman" w:hAnsi="Times New Roman" w:cs="Times New Roman"/>
                <w:color w:val="000000"/>
              </w:rPr>
              <w:t xml:space="preserve"> - 10</w:t>
            </w:r>
          </w:p>
          <w:p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1D2622">
              <w:rPr>
                <w:rFonts w:ascii="Times New Roman" w:eastAsia="Times New Roman" w:hAnsi="Times New Roman" w:cs="Times New Roman"/>
                <w:color w:val="000000"/>
              </w:rPr>
              <w:t xml:space="preserve"> – 14</w:t>
            </w:r>
          </w:p>
          <w:p w:rsidR="001D2622" w:rsidRPr="00E87A5F" w:rsidRDefault="001D2622"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wydrukowanych rodzajów plakatów - 12</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wnioskodawców o możliwościach, technicznych aspektach realizacji i składania wniosków na operacje w ramach budżetu LSR</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rsidTr="00067FD0">
        <w:trPr>
          <w:trHeight w:val="2343"/>
        </w:trPr>
        <w:tc>
          <w:tcPr>
            <w:tcW w:w="1204" w:type="dxa"/>
            <w:shd w:val="clear" w:color="000000" w:fill="B8CCE4"/>
            <w:noWrap/>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2016/2017/2018/2019/2020</w:t>
            </w:r>
          </w:p>
        </w:tc>
        <w:tc>
          <w:tcPr>
            <w:tcW w:w="221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pomocy świadczonej przez LGD pod kątem konieczności przeprowadzenia ewentualnych korekt w tym zakresie.</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Badanie satysfakcji wnioskodawców dotyczące jakości pomocy świadczonej przez LGD na etapie przygotowania wniosków o przyznanie pomocy</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Osoby </w:t>
            </w:r>
            <w:proofErr w:type="spellStart"/>
            <w:r w:rsidRPr="00E87A5F">
              <w:rPr>
                <w:rFonts w:ascii="Times New Roman" w:eastAsia="Times New Roman" w:hAnsi="Times New Roman" w:cs="Times New Roman"/>
                <w:color w:val="000000"/>
              </w:rPr>
              <w:t>defaworyzowane</w:t>
            </w:r>
            <w:proofErr w:type="spellEnd"/>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tc>
        <w:tc>
          <w:tcPr>
            <w:tcW w:w="2835"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w wersji elektronicznej rozesłane na adresy e-mail wnioskodawców</w:t>
            </w: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rozesłane do wnioskodawców (zakończonych konkursów)</w:t>
            </w:r>
            <w:r w:rsidR="001D2622">
              <w:rPr>
                <w:rFonts w:ascii="Times New Roman" w:eastAsia="Times New Roman" w:hAnsi="Times New Roman" w:cs="Times New Roman"/>
                <w:color w:val="000000"/>
              </w:rPr>
              <w:t xml:space="preserve"> - 70</w:t>
            </w: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Zwrot ankiet</w:t>
            </w:r>
          </w:p>
        </w:tc>
      </w:tr>
      <w:tr w:rsidR="005F5E3C" w:rsidRPr="00E87A5F" w:rsidTr="00067FD0">
        <w:trPr>
          <w:trHeight w:val="2095"/>
        </w:trPr>
        <w:tc>
          <w:tcPr>
            <w:tcW w:w="1204" w:type="dxa"/>
            <w:shd w:val="clear" w:color="000000" w:fill="B8CCE4"/>
            <w:noWrap/>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2017/2018/2019/2020</w:t>
            </w:r>
          </w:p>
        </w:tc>
        <w:tc>
          <w:tcPr>
            <w:tcW w:w="221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 xml:space="preserve">Aktualizacja LSR </w:t>
            </w:r>
          </w:p>
        </w:tc>
        <w:tc>
          <w:tcPr>
            <w:tcW w:w="184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Spotkania warsztatowe</w:t>
            </w:r>
          </w:p>
        </w:tc>
        <w:tc>
          <w:tcPr>
            <w:tcW w:w="1843" w:type="dxa"/>
            <w:shd w:val="clear" w:color="auto" w:fill="auto"/>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Ogół mieszkańców</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bezpośrednia</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e-mailowa</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zorganizowanych spotkań w formie bezpośredniej</w:t>
            </w:r>
            <w:r w:rsidR="001D2622">
              <w:rPr>
                <w:rFonts w:ascii="Times New Roman" w:eastAsia="Times New Roman" w:hAnsi="Times New Roman" w:cs="Times New Roman"/>
                <w:color w:val="000000"/>
              </w:rPr>
              <w:t xml:space="preserve"> - 4</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Włączenie społeczności i zwiększenie zainteresowania mieszkańców działalnością LGD</w:t>
            </w:r>
          </w:p>
        </w:tc>
      </w:tr>
      <w:tr w:rsidR="005F5E3C" w:rsidRPr="00E87A5F" w:rsidTr="00067FD0">
        <w:trPr>
          <w:trHeight w:val="1293"/>
        </w:trPr>
        <w:tc>
          <w:tcPr>
            <w:tcW w:w="1204" w:type="dxa"/>
            <w:shd w:val="clear" w:color="000000" w:fill="B8CCE4"/>
            <w:noWrap/>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2019 i 2020</w:t>
            </w:r>
          </w:p>
        </w:tc>
        <w:tc>
          <w:tcPr>
            <w:tcW w:w="221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lokalnej społeczności o efektach z realizacji LSR w latach 2016-2018</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Wydarzenia promocyjne</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Foldery i broszury promocyjne</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folderów i broszur promocyjnych</w:t>
            </w:r>
            <w:r w:rsidR="001D2622">
              <w:rPr>
                <w:rFonts w:ascii="Times New Roman" w:eastAsia="Times New Roman" w:hAnsi="Times New Roman" w:cs="Times New Roman"/>
                <w:color w:val="000000"/>
              </w:rPr>
              <w:t xml:space="preserve"> - 3</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wiedzy społeczności lokalnej nt. realizowanych wokół nich projektów</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Podwyższenie świadomości dot. działalności LGD</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Pobudzenie społeczności lokalnej do włączenia się w realizację LSR</w:t>
            </w:r>
          </w:p>
        </w:tc>
      </w:tr>
    </w:tbl>
    <w:p w:rsidR="00B303BA" w:rsidRPr="00E87A5F" w:rsidRDefault="00B303BA" w:rsidP="005F5E3C">
      <w:pPr>
        <w:rPr>
          <w:rFonts w:ascii="Times New Roman" w:hAnsi="Times New Roman" w:cs="Times New Roman"/>
        </w:rPr>
      </w:pPr>
    </w:p>
    <w:sectPr w:rsidR="00B303BA" w:rsidRPr="00E87A5F" w:rsidSect="005B0671">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17" w:rsidRDefault="00E86217" w:rsidP="0092717E">
      <w:pPr>
        <w:spacing w:after="0" w:line="240" w:lineRule="auto"/>
      </w:pPr>
      <w:r>
        <w:separator/>
      </w:r>
    </w:p>
  </w:endnote>
  <w:endnote w:type="continuationSeparator" w:id="0">
    <w:p w:rsidR="00E86217" w:rsidRDefault="00E86217" w:rsidP="009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59853"/>
      <w:docPartObj>
        <w:docPartGallery w:val="Page Numbers (Bottom of Page)"/>
        <w:docPartUnique/>
      </w:docPartObj>
    </w:sdtPr>
    <w:sdtEndPr/>
    <w:sdtContent>
      <w:p w:rsidR="002279EE" w:rsidRDefault="002279EE">
        <w:pPr>
          <w:pStyle w:val="Stopka"/>
          <w:jc w:val="right"/>
        </w:pPr>
        <w:r>
          <w:fldChar w:fldCharType="begin"/>
        </w:r>
        <w:r>
          <w:instrText>PAGE   \* MERGEFORMAT</w:instrText>
        </w:r>
        <w:r>
          <w:fldChar w:fldCharType="separate"/>
        </w:r>
        <w:r w:rsidR="00F54ED0">
          <w:rPr>
            <w:noProof/>
          </w:rPr>
          <w:t>81</w:t>
        </w:r>
        <w:r>
          <w:fldChar w:fldCharType="end"/>
        </w:r>
      </w:p>
    </w:sdtContent>
  </w:sdt>
  <w:p w:rsidR="002279EE" w:rsidRDefault="002279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17" w:rsidRDefault="00E86217" w:rsidP="0092717E">
      <w:pPr>
        <w:spacing w:after="0" w:line="240" w:lineRule="auto"/>
      </w:pPr>
      <w:r>
        <w:separator/>
      </w:r>
    </w:p>
  </w:footnote>
  <w:footnote w:type="continuationSeparator" w:id="0">
    <w:p w:rsidR="00E86217" w:rsidRDefault="00E86217" w:rsidP="00927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EE" w:rsidRDefault="002279EE">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3C"/>
    <w:multiLevelType w:val="hybridMultilevel"/>
    <w:tmpl w:val="B012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92227"/>
    <w:multiLevelType w:val="hybridMultilevel"/>
    <w:tmpl w:val="A148A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2F679E"/>
    <w:multiLevelType w:val="hybridMultilevel"/>
    <w:tmpl w:val="AE76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A56FF"/>
    <w:multiLevelType w:val="hybridMultilevel"/>
    <w:tmpl w:val="5DF4AF56"/>
    <w:lvl w:ilvl="0" w:tplc="08A87A0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203AB"/>
    <w:multiLevelType w:val="hybridMultilevel"/>
    <w:tmpl w:val="C694A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78008F0"/>
    <w:multiLevelType w:val="hybridMultilevel"/>
    <w:tmpl w:val="373ED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5D41B5"/>
    <w:multiLevelType w:val="hybridMultilevel"/>
    <w:tmpl w:val="15F81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093405"/>
    <w:multiLevelType w:val="hybridMultilevel"/>
    <w:tmpl w:val="00A2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359B9"/>
    <w:multiLevelType w:val="hybridMultilevel"/>
    <w:tmpl w:val="CD92F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FA6C7E"/>
    <w:multiLevelType w:val="hybridMultilevel"/>
    <w:tmpl w:val="4D24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174132"/>
    <w:multiLevelType w:val="hybridMultilevel"/>
    <w:tmpl w:val="8E445FEA"/>
    <w:lvl w:ilvl="0" w:tplc="1FC05BF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2542CE"/>
    <w:multiLevelType w:val="hybridMultilevel"/>
    <w:tmpl w:val="228E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5C73A4"/>
    <w:multiLevelType w:val="hybridMultilevel"/>
    <w:tmpl w:val="CDA49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DB6728"/>
    <w:multiLevelType w:val="hybridMultilevel"/>
    <w:tmpl w:val="8B9C6D5C"/>
    <w:lvl w:ilvl="0" w:tplc="0BE0E1F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5F25A3"/>
    <w:multiLevelType w:val="hybridMultilevel"/>
    <w:tmpl w:val="135E5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81A4707"/>
    <w:multiLevelType w:val="hybridMultilevel"/>
    <w:tmpl w:val="A8122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576BDC"/>
    <w:multiLevelType w:val="hybridMultilevel"/>
    <w:tmpl w:val="685ADCEE"/>
    <w:lvl w:ilvl="0" w:tplc="25E8A4F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B77B22"/>
    <w:multiLevelType w:val="hybridMultilevel"/>
    <w:tmpl w:val="51D02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C038C2"/>
    <w:multiLevelType w:val="multilevel"/>
    <w:tmpl w:val="E2B6E6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2F5E9B"/>
    <w:multiLevelType w:val="hybridMultilevel"/>
    <w:tmpl w:val="DF60F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303A6E"/>
    <w:multiLevelType w:val="hybridMultilevel"/>
    <w:tmpl w:val="D592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30610D"/>
    <w:multiLevelType w:val="multilevel"/>
    <w:tmpl w:val="1C22BA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EB15EB"/>
    <w:multiLevelType w:val="hybridMultilevel"/>
    <w:tmpl w:val="F4E0CBB0"/>
    <w:lvl w:ilvl="0" w:tplc="9E743DD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D23E05"/>
    <w:multiLevelType w:val="hybridMultilevel"/>
    <w:tmpl w:val="38C2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DD2340"/>
    <w:multiLevelType w:val="hybridMultilevel"/>
    <w:tmpl w:val="2D4E6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841D7F"/>
    <w:multiLevelType w:val="hybridMultilevel"/>
    <w:tmpl w:val="CF966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F62C24"/>
    <w:multiLevelType w:val="hybridMultilevel"/>
    <w:tmpl w:val="152C81E0"/>
    <w:lvl w:ilvl="0" w:tplc="D9D8C1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8">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92B3362"/>
    <w:multiLevelType w:val="hybridMultilevel"/>
    <w:tmpl w:val="9462F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B97DE6"/>
    <w:multiLevelType w:val="hybridMultilevel"/>
    <w:tmpl w:val="0FB4D4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3"/>
  </w:num>
  <w:num w:numId="4">
    <w:abstractNumId w:val="29"/>
  </w:num>
  <w:num w:numId="5">
    <w:abstractNumId w:val="4"/>
  </w:num>
  <w:num w:numId="6">
    <w:abstractNumId w:val="6"/>
  </w:num>
  <w:num w:numId="7">
    <w:abstractNumId w:val="17"/>
  </w:num>
  <w:num w:numId="8">
    <w:abstractNumId w:val="19"/>
  </w:num>
  <w:num w:numId="9">
    <w:abstractNumId w:val="14"/>
  </w:num>
  <w:num w:numId="10">
    <w:abstractNumId w:val="12"/>
  </w:num>
  <w:num w:numId="11">
    <w:abstractNumId w:val="7"/>
  </w:num>
  <w:num w:numId="12">
    <w:abstractNumId w:val="16"/>
  </w:num>
  <w:num w:numId="13">
    <w:abstractNumId w:val="22"/>
  </w:num>
  <w:num w:numId="14">
    <w:abstractNumId w:val="10"/>
  </w:num>
  <w:num w:numId="15">
    <w:abstractNumId w:val="2"/>
  </w:num>
  <w:num w:numId="16">
    <w:abstractNumId w:val="15"/>
  </w:num>
  <w:num w:numId="17">
    <w:abstractNumId w:val="13"/>
  </w:num>
  <w:num w:numId="18">
    <w:abstractNumId w:val="9"/>
  </w:num>
  <w:num w:numId="19">
    <w:abstractNumId w:val="28"/>
  </w:num>
  <w:num w:numId="20">
    <w:abstractNumId w:val="27"/>
  </w:num>
  <w:num w:numId="21">
    <w:abstractNumId w:val="21"/>
  </w:num>
  <w:num w:numId="22">
    <w:abstractNumId w:val="5"/>
  </w:num>
  <w:num w:numId="23">
    <w:abstractNumId w:val="26"/>
  </w:num>
  <w:num w:numId="24">
    <w:abstractNumId w:val="20"/>
  </w:num>
  <w:num w:numId="25">
    <w:abstractNumId w:val="24"/>
  </w:num>
  <w:num w:numId="26">
    <w:abstractNumId w:val="11"/>
  </w:num>
  <w:num w:numId="27">
    <w:abstractNumId w:val="0"/>
  </w:num>
  <w:num w:numId="28">
    <w:abstractNumId w:val="1"/>
  </w:num>
  <w:num w:numId="29">
    <w:abstractNumId w:val="25"/>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3C"/>
    <w:rsid w:val="00003C73"/>
    <w:rsid w:val="00007100"/>
    <w:rsid w:val="00027708"/>
    <w:rsid w:val="00066CE2"/>
    <w:rsid w:val="00067FD0"/>
    <w:rsid w:val="00075898"/>
    <w:rsid w:val="000917CC"/>
    <w:rsid w:val="000946AA"/>
    <w:rsid w:val="000A61BA"/>
    <w:rsid w:val="000B6143"/>
    <w:rsid w:val="000B7DD7"/>
    <w:rsid w:val="000C456F"/>
    <w:rsid w:val="000C6A32"/>
    <w:rsid w:val="000D5080"/>
    <w:rsid w:val="000D7949"/>
    <w:rsid w:val="000F5DAD"/>
    <w:rsid w:val="00117ABC"/>
    <w:rsid w:val="00134E24"/>
    <w:rsid w:val="00145CBB"/>
    <w:rsid w:val="00153BF2"/>
    <w:rsid w:val="00176C61"/>
    <w:rsid w:val="001A3932"/>
    <w:rsid w:val="001B67F1"/>
    <w:rsid w:val="001D2622"/>
    <w:rsid w:val="001F3A02"/>
    <w:rsid w:val="00201630"/>
    <w:rsid w:val="002041B2"/>
    <w:rsid w:val="002218DD"/>
    <w:rsid w:val="002279EE"/>
    <w:rsid w:val="002404AF"/>
    <w:rsid w:val="00263C45"/>
    <w:rsid w:val="00276143"/>
    <w:rsid w:val="00280657"/>
    <w:rsid w:val="0028649E"/>
    <w:rsid w:val="002A4351"/>
    <w:rsid w:val="002D54D8"/>
    <w:rsid w:val="002E23AF"/>
    <w:rsid w:val="002F0B6D"/>
    <w:rsid w:val="002F2F77"/>
    <w:rsid w:val="00303ECD"/>
    <w:rsid w:val="00305ED4"/>
    <w:rsid w:val="0035458B"/>
    <w:rsid w:val="003A2AD2"/>
    <w:rsid w:val="003A47E7"/>
    <w:rsid w:val="003B0847"/>
    <w:rsid w:val="003B5FD8"/>
    <w:rsid w:val="003D0267"/>
    <w:rsid w:val="003F599E"/>
    <w:rsid w:val="00431866"/>
    <w:rsid w:val="00432DE8"/>
    <w:rsid w:val="004568E6"/>
    <w:rsid w:val="00471B14"/>
    <w:rsid w:val="00485250"/>
    <w:rsid w:val="004908D8"/>
    <w:rsid w:val="004C647D"/>
    <w:rsid w:val="004F4A74"/>
    <w:rsid w:val="004F7D1A"/>
    <w:rsid w:val="005011FC"/>
    <w:rsid w:val="00544490"/>
    <w:rsid w:val="005501C4"/>
    <w:rsid w:val="00575F6F"/>
    <w:rsid w:val="005A401D"/>
    <w:rsid w:val="005B0671"/>
    <w:rsid w:val="005F5E3C"/>
    <w:rsid w:val="006518FD"/>
    <w:rsid w:val="00666109"/>
    <w:rsid w:val="006A3D03"/>
    <w:rsid w:val="006C3AED"/>
    <w:rsid w:val="006E1EEC"/>
    <w:rsid w:val="00712429"/>
    <w:rsid w:val="00726338"/>
    <w:rsid w:val="007400A9"/>
    <w:rsid w:val="0075654E"/>
    <w:rsid w:val="00757E70"/>
    <w:rsid w:val="00782963"/>
    <w:rsid w:val="007870F1"/>
    <w:rsid w:val="0079694D"/>
    <w:rsid w:val="007D30E5"/>
    <w:rsid w:val="007D7C94"/>
    <w:rsid w:val="0085003C"/>
    <w:rsid w:val="00866535"/>
    <w:rsid w:val="008924D5"/>
    <w:rsid w:val="008A6451"/>
    <w:rsid w:val="008C4984"/>
    <w:rsid w:val="008E44F2"/>
    <w:rsid w:val="008F022B"/>
    <w:rsid w:val="009269F9"/>
    <w:rsid w:val="009270B5"/>
    <w:rsid w:val="0092717E"/>
    <w:rsid w:val="00934B47"/>
    <w:rsid w:val="009419D2"/>
    <w:rsid w:val="0099059B"/>
    <w:rsid w:val="009D52AF"/>
    <w:rsid w:val="00A11FEE"/>
    <w:rsid w:val="00A23C9D"/>
    <w:rsid w:val="00A34DAC"/>
    <w:rsid w:val="00A60F76"/>
    <w:rsid w:val="00AC5735"/>
    <w:rsid w:val="00B15355"/>
    <w:rsid w:val="00B303BA"/>
    <w:rsid w:val="00B56BF0"/>
    <w:rsid w:val="00B6506E"/>
    <w:rsid w:val="00B91DD6"/>
    <w:rsid w:val="00B9738F"/>
    <w:rsid w:val="00BA315D"/>
    <w:rsid w:val="00BE300B"/>
    <w:rsid w:val="00BE34D9"/>
    <w:rsid w:val="00BF0361"/>
    <w:rsid w:val="00C3342A"/>
    <w:rsid w:val="00C36852"/>
    <w:rsid w:val="00C53C2F"/>
    <w:rsid w:val="00C60B56"/>
    <w:rsid w:val="00C66326"/>
    <w:rsid w:val="00C75C8F"/>
    <w:rsid w:val="00C83E70"/>
    <w:rsid w:val="00CB5C13"/>
    <w:rsid w:val="00CC0D44"/>
    <w:rsid w:val="00CC2618"/>
    <w:rsid w:val="00CD4714"/>
    <w:rsid w:val="00D2297C"/>
    <w:rsid w:val="00D27531"/>
    <w:rsid w:val="00D33CBD"/>
    <w:rsid w:val="00D3435C"/>
    <w:rsid w:val="00D5430E"/>
    <w:rsid w:val="00D6793C"/>
    <w:rsid w:val="00D73395"/>
    <w:rsid w:val="00D80001"/>
    <w:rsid w:val="00D91119"/>
    <w:rsid w:val="00D947F3"/>
    <w:rsid w:val="00DA3CB2"/>
    <w:rsid w:val="00DA4672"/>
    <w:rsid w:val="00DA7FBB"/>
    <w:rsid w:val="00DC2765"/>
    <w:rsid w:val="00DE6577"/>
    <w:rsid w:val="00E02E44"/>
    <w:rsid w:val="00E1396F"/>
    <w:rsid w:val="00E30C51"/>
    <w:rsid w:val="00E46F81"/>
    <w:rsid w:val="00E62B12"/>
    <w:rsid w:val="00E7574D"/>
    <w:rsid w:val="00E7702B"/>
    <w:rsid w:val="00E80379"/>
    <w:rsid w:val="00E86217"/>
    <w:rsid w:val="00E87A5F"/>
    <w:rsid w:val="00E96C2C"/>
    <w:rsid w:val="00F02071"/>
    <w:rsid w:val="00F23BEC"/>
    <w:rsid w:val="00F53054"/>
    <w:rsid w:val="00F54ED0"/>
    <w:rsid w:val="00F820DE"/>
    <w:rsid w:val="00F841E7"/>
    <w:rsid w:val="00F95605"/>
    <w:rsid w:val="00FB3FCB"/>
    <w:rsid w:val="00FC3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kwiatlnu.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owiatowa.info"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kwiatlnu.pl" TargetMode="External"/><Relationship Id="rId28" Type="http://schemas.openxmlformats.org/officeDocument/2006/relationships/hyperlink" Target="http://www.organizacji"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38363954505838E-2"/>
          <c:y val="6.1336196611787193E-2"/>
          <c:w val="0.91075422863809274"/>
          <c:h val="0.67646168195917988"/>
        </c:manualLayout>
      </c:layout>
      <c:lineChart>
        <c:grouping val="standard"/>
        <c:varyColors val="0"/>
        <c:ser>
          <c:idx val="0"/>
          <c:order val="0"/>
          <c:tx>
            <c:strRef>
              <c:f>Arkusz1!$B$1</c:f>
              <c:strCache>
                <c:ptCount val="1"/>
                <c:pt idx="0">
                  <c:v>Kraj</c:v>
                </c:pt>
              </c:strCache>
            </c:strRef>
          </c:tx>
          <c:cat>
            <c:numRef>
              <c:f>Arkusz1!$A$2:$A$7</c:f>
              <c:numCache>
                <c:formatCode>General</c:formatCode>
                <c:ptCount val="6"/>
                <c:pt idx="0">
                  <c:v>2010</c:v>
                </c:pt>
                <c:pt idx="1">
                  <c:v>2011</c:v>
                </c:pt>
                <c:pt idx="2">
                  <c:v>2012</c:v>
                </c:pt>
                <c:pt idx="3">
                  <c:v>2013</c:v>
                </c:pt>
                <c:pt idx="4">
                  <c:v>2014</c:v>
                </c:pt>
              </c:numCache>
            </c:numRef>
          </c:cat>
          <c:val>
            <c:numRef>
              <c:f>Arkusz1!$B$2:$B$7</c:f>
              <c:numCache>
                <c:formatCode>General</c:formatCode>
                <c:ptCount val="6"/>
                <c:pt idx="0">
                  <c:v>53.1</c:v>
                </c:pt>
                <c:pt idx="1">
                  <c:v>55.7</c:v>
                </c:pt>
                <c:pt idx="2">
                  <c:v>59</c:v>
                </c:pt>
                <c:pt idx="3">
                  <c:v>61</c:v>
                </c:pt>
                <c:pt idx="4">
                  <c:v>65</c:v>
                </c:pt>
              </c:numCache>
            </c:numRef>
          </c:val>
          <c:smooth val="0"/>
          <c:extLst xmlns:c16r2="http://schemas.microsoft.com/office/drawing/2015/06/chart">
            <c:ext xmlns:c16="http://schemas.microsoft.com/office/drawing/2014/chart" uri="{C3380CC4-5D6E-409C-BE32-E72D297353CC}">
              <c16:uniqueId val="{00000000-0029-42E4-BA67-488FDB64C35F}"/>
            </c:ext>
          </c:extLst>
        </c:ser>
        <c:ser>
          <c:idx val="1"/>
          <c:order val="1"/>
          <c:tx>
            <c:strRef>
              <c:f>Arkusz1!$C$1</c:f>
              <c:strCache>
                <c:ptCount val="1"/>
                <c:pt idx="0">
                  <c:v>Województwo dolnośląskie</c:v>
                </c:pt>
              </c:strCache>
            </c:strRef>
          </c:tx>
          <c:marker>
            <c:spPr>
              <a:solidFill>
                <a:srgbClr val="7030A0"/>
              </a:solidFill>
            </c:spPr>
          </c:marker>
          <c:dPt>
            <c:idx val="0"/>
            <c:bubble3D val="0"/>
            <c:spPr>
              <a:ln>
                <a:solidFill>
                  <a:srgbClr val="7030A0"/>
                </a:solidFill>
              </a:ln>
            </c:spPr>
            <c:extLst xmlns:c16r2="http://schemas.microsoft.com/office/drawing/2015/06/chart">
              <c:ext xmlns:c16="http://schemas.microsoft.com/office/drawing/2014/chart" uri="{C3380CC4-5D6E-409C-BE32-E72D297353CC}">
                <c16:uniqueId val="{00000002-0029-42E4-BA67-488FDB64C35F}"/>
              </c:ext>
            </c:extLst>
          </c:dPt>
          <c:dPt>
            <c:idx val="1"/>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4-0029-42E4-BA67-488FDB64C35F}"/>
              </c:ext>
            </c:extLst>
          </c:dPt>
          <c:dPt>
            <c:idx val="2"/>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6-0029-42E4-BA67-488FDB64C35F}"/>
              </c:ext>
            </c:extLst>
          </c:dPt>
          <c:dPt>
            <c:idx val="3"/>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8-0029-42E4-BA67-488FDB64C35F}"/>
              </c:ext>
            </c:extLst>
          </c:dPt>
          <c:dPt>
            <c:idx val="4"/>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A-0029-42E4-BA67-488FDB64C35F}"/>
              </c:ext>
            </c:extLst>
          </c:dPt>
          <c:cat>
            <c:numRef>
              <c:f>Arkusz1!$A$2:$A$7</c:f>
              <c:numCache>
                <c:formatCode>General</c:formatCode>
                <c:ptCount val="6"/>
                <c:pt idx="0">
                  <c:v>2010</c:v>
                </c:pt>
                <c:pt idx="1">
                  <c:v>2011</c:v>
                </c:pt>
                <c:pt idx="2">
                  <c:v>2012</c:v>
                </c:pt>
                <c:pt idx="3">
                  <c:v>2013</c:v>
                </c:pt>
                <c:pt idx="4">
                  <c:v>2014</c:v>
                </c:pt>
              </c:numCache>
            </c:numRef>
          </c:cat>
          <c:val>
            <c:numRef>
              <c:f>Arkusz1!$C$2:$C$7</c:f>
              <c:numCache>
                <c:formatCode>General</c:formatCode>
                <c:ptCount val="6"/>
                <c:pt idx="0">
                  <c:v>65</c:v>
                </c:pt>
                <c:pt idx="1">
                  <c:v>69.5</c:v>
                </c:pt>
                <c:pt idx="2">
                  <c:v>75</c:v>
                </c:pt>
                <c:pt idx="3">
                  <c:v>75.400000000000006</c:v>
                </c:pt>
                <c:pt idx="4">
                  <c:v>83.1</c:v>
                </c:pt>
              </c:numCache>
            </c:numRef>
          </c:val>
          <c:smooth val="0"/>
          <c:extLst xmlns:c16r2="http://schemas.microsoft.com/office/drawing/2015/06/chart">
            <c:ext xmlns:c16="http://schemas.microsoft.com/office/drawing/2014/chart" uri="{C3380CC4-5D6E-409C-BE32-E72D297353CC}">
              <c16:uniqueId val="{0000000B-0029-42E4-BA67-488FDB64C35F}"/>
            </c:ext>
          </c:extLst>
        </c:ser>
        <c:ser>
          <c:idx val="2"/>
          <c:order val="2"/>
          <c:tx>
            <c:strRef>
              <c:f>Arkusz1!$D$1</c:f>
              <c:strCache>
                <c:ptCount val="1"/>
                <c:pt idx="0">
                  <c:v>LGD Kwiat Lnu</c:v>
                </c:pt>
              </c:strCache>
            </c:strRef>
          </c:tx>
          <c:cat>
            <c:numRef>
              <c:f>Arkusz1!$A$2:$A$7</c:f>
              <c:numCache>
                <c:formatCode>General</c:formatCode>
                <c:ptCount val="6"/>
                <c:pt idx="0">
                  <c:v>2010</c:v>
                </c:pt>
                <c:pt idx="1">
                  <c:v>2011</c:v>
                </c:pt>
                <c:pt idx="2">
                  <c:v>2012</c:v>
                </c:pt>
                <c:pt idx="3">
                  <c:v>2013</c:v>
                </c:pt>
                <c:pt idx="4">
                  <c:v>2014</c:v>
                </c:pt>
              </c:numCache>
            </c:numRef>
          </c:cat>
          <c:val>
            <c:numRef>
              <c:f>Arkusz1!$D$2:$D$7</c:f>
              <c:numCache>
                <c:formatCode>General</c:formatCode>
                <c:ptCount val="6"/>
                <c:pt idx="0">
                  <c:v>38.9</c:v>
                </c:pt>
                <c:pt idx="1">
                  <c:v>39.700000000000003</c:v>
                </c:pt>
                <c:pt idx="2">
                  <c:v>64.8</c:v>
                </c:pt>
                <c:pt idx="3">
                  <c:v>53.4</c:v>
                </c:pt>
                <c:pt idx="4">
                  <c:v>63.5</c:v>
                </c:pt>
              </c:numCache>
            </c:numRef>
          </c:val>
          <c:smooth val="0"/>
          <c:extLst xmlns:c16r2="http://schemas.microsoft.com/office/drawing/2015/06/chart">
            <c:ext xmlns:c16="http://schemas.microsoft.com/office/drawing/2014/chart" uri="{C3380CC4-5D6E-409C-BE32-E72D297353CC}">
              <c16:uniqueId val="{0000000C-0029-42E4-BA67-488FDB64C35F}"/>
            </c:ext>
          </c:extLst>
        </c:ser>
        <c:dLbls>
          <c:showLegendKey val="0"/>
          <c:showVal val="0"/>
          <c:showCatName val="0"/>
          <c:showSerName val="0"/>
          <c:showPercent val="0"/>
          <c:showBubbleSize val="0"/>
        </c:dLbls>
        <c:marker val="1"/>
        <c:smooth val="0"/>
        <c:axId val="128030976"/>
        <c:axId val="128032768"/>
      </c:lineChart>
      <c:catAx>
        <c:axId val="128030976"/>
        <c:scaling>
          <c:orientation val="minMax"/>
        </c:scaling>
        <c:delete val="0"/>
        <c:axPos val="b"/>
        <c:numFmt formatCode="General" sourceLinked="1"/>
        <c:majorTickMark val="none"/>
        <c:minorTickMark val="none"/>
        <c:tickLblPos val="nextTo"/>
        <c:txPr>
          <a:bodyPr/>
          <a:lstStyle/>
          <a:p>
            <a:pPr>
              <a:defRPr sz="1100">
                <a:latin typeface="Brush Script MT" panose="03060802040406070304" pitchFamily="66" charset="0"/>
              </a:defRPr>
            </a:pPr>
            <a:endParaRPr lang="pl-PL"/>
          </a:p>
        </c:txPr>
        <c:crossAx val="128032768"/>
        <c:crosses val="autoZero"/>
        <c:auto val="1"/>
        <c:lblAlgn val="ctr"/>
        <c:lblOffset val="100"/>
        <c:noMultiLvlLbl val="0"/>
      </c:catAx>
      <c:valAx>
        <c:axId val="128032768"/>
        <c:scaling>
          <c:orientation val="minMax"/>
        </c:scaling>
        <c:delete val="0"/>
        <c:axPos val="l"/>
        <c:numFmt formatCode="General" sourceLinked="1"/>
        <c:majorTickMark val="none"/>
        <c:minorTickMark val="none"/>
        <c:tickLblPos val="nextTo"/>
        <c:txPr>
          <a:bodyPr/>
          <a:lstStyle/>
          <a:p>
            <a:pPr>
              <a:defRPr>
                <a:latin typeface="Brush Script MT" panose="03060802040406070304" pitchFamily="66" charset="0"/>
              </a:defRPr>
            </a:pPr>
            <a:endParaRPr lang="pl-PL"/>
          </a:p>
        </c:txPr>
        <c:crossAx val="128030976"/>
        <c:crosses val="autoZero"/>
        <c:crossBetween val="between"/>
      </c:valAx>
    </c:plotArea>
    <c:legend>
      <c:legendPos val="b"/>
      <c:overlay val="0"/>
      <c:spPr>
        <a:ln>
          <a:solidFill>
            <a:srgbClr val="7030A0"/>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9AE97-9BB4-4945-8B60-475A5A69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81</Pages>
  <Words>32121</Words>
  <Characters>192731</Characters>
  <Application>Microsoft Office Word</Application>
  <DocSecurity>0</DocSecurity>
  <Lines>1606</Lines>
  <Paragraphs>448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Kamila</cp:lastModifiedBy>
  <cp:revision>19</cp:revision>
  <cp:lastPrinted>2018-05-11T14:30:00Z</cp:lastPrinted>
  <dcterms:created xsi:type="dcterms:W3CDTF">2017-11-06T11:41:00Z</dcterms:created>
  <dcterms:modified xsi:type="dcterms:W3CDTF">2018-07-23T10:27:00Z</dcterms:modified>
</cp:coreProperties>
</file>